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166" w:lineRule="exact"/>
        <w:textAlignment w:val="auto"/>
        <w:rPr>
          <w:rFonts w:ascii="宋体" w:hAnsi="宋体"/>
          <w:b/>
          <w:bCs/>
          <w:color w:val="auto"/>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 w:val="15"/>
          <w:szCs w:val="15"/>
          <w:highlight w:val="none"/>
        </w:rPr>
      </w:pPr>
      <w:r>
        <w:rPr>
          <w:rFonts w:hint="eastAsia"/>
          <w:b/>
          <w:color w:val="auto"/>
          <w:sz w:val="28"/>
          <w:szCs w:val="28"/>
          <w:highlight w:val="none"/>
        </w:rPr>
        <w:t>东莞农村商业银行单位银行结算账户管理协议</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存款人（甲方）与东莞农村商业银行（乙方）依据《人民币银行结算账户管理办法》及其实施细则、《企业银行结算账户管理办法》、《票据法》、《中华人民共和国外汇管理条例》、《中华人民共和国反电信网络诈骗法》、《反洗钱法》和中华人民共和国相关法律、法规，在平等自愿的基础上，签订此协议并共同遵守。甲方在乙方开立、使用和撤销银行结算账户及通过银行结算账户办理各类业务时除应遵守上述法律、法规的规定外，还应遵守乙方的相关业务规定。</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strike/>
          <w:color w:val="auto"/>
          <w:sz w:val="21"/>
          <w:szCs w:val="21"/>
          <w:highlight w:val="none"/>
        </w:rPr>
      </w:pPr>
      <w:r>
        <w:rPr>
          <w:rFonts w:hint="eastAsia" w:ascii="仿宋_GB2312" w:hAnsi="仿宋_GB2312" w:eastAsia="仿宋_GB2312" w:cs="仿宋_GB2312"/>
          <w:b/>
          <w:color w:val="auto"/>
          <w:sz w:val="21"/>
          <w:szCs w:val="21"/>
          <w:highlight w:val="none"/>
        </w:rPr>
        <w:t>第一条</w:t>
      </w:r>
      <w:r>
        <w:rPr>
          <w:rFonts w:hint="eastAsia" w:ascii="仿宋_GB2312" w:hAnsi="仿宋_GB2312" w:eastAsia="仿宋_GB2312" w:cs="仿宋_GB2312"/>
          <w:color w:val="auto"/>
          <w:sz w:val="21"/>
          <w:szCs w:val="21"/>
          <w:highlight w:val="none"/>
        </w:rPr>
        <w:t xml:space="preserve"> 甲方因自身结算需要，自愿选择在乙方开立银行结算账户。甲方应按照中国人民银行、国家外汇管理局等有关规定和乙方要求提交业务申请，出具相应的证明文件，并配合乙方完成尽职调查和开户意愿核实工作。甲方承诺对所提供文件的真实性、完整性、合法性、开户申请人与开户证明文件所属人的一致性、开户意愿的真实性以及基本存款账户的唯一性负完全责任。</w:t>
      </w:r>
      <w:r>
        <w:rPr>
          <w:rFonts w:hint="eastAsia" w:ascii="仿宋_GB2312" w:hAnsi="仿宋_GB2312" w:eastAsia="仿宋_GB2312" w:cs="仿宋_GB2312"/>
          <w:b/>
          <w:bCs/>
          <w:color w:val="auto"/>
          <w:sz w:val="21"/>
          <w:szCs w:val="21"/>
          <w:highlight w:val="none"/>
        </w:rPr>
        <w:t>如乙方发现甲方违反以上承诺或者甲方以上承诺不属实，乙方有权拒绝开户申请、中止账户业务、进行销户或采取其他控制账户交易措施，由此产生的责任和后果均由甲方自行承担，对乙方造成损害的，甲方有义务予以赔偿。</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color w:val="auto"/>
          <w:sz w:val="21"/>
          <w:szCs w:val="21"/>
          <w:highlight w:val="none"/>
          <w:lang w:val="en-US"/>
        </w:rPr>
      </w:pPr>
      <w:r>
        <w:rPr>
          <w:rFonts w:hint="eastAsia" w:ascii="仿宋_GB2312" w:hAnsi="仿宋_GB2312" w:eastAsia="仿宋_GB2312" w:cs="仿宋_GB2312"/>
          <w:b/>
          <w:color w:val="auto"/>
          <w:sz w:val="21"/>
          <w:szCs w:val="21"/>
          <w:highlight w:val="none"/>
        </w:rPr>
        <w:t>第二条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sz w:val="21"/>
          <w:szCs w:val="21"/>
          <w:highlight w:val="none"/>
        </w:rPr>
        <w:t>甲方通过乙方提供的线上渠道或递交纸质等方式提交开户</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变更、销户申请</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color w:val="auto"/>
          <w:sz w:val="21"/>
          <w:szCs w:val="21"/>
          <w:highlight w:val="none"/>
        </w:rPr>
        <w:t>同意乙方</w:t>
      </w:r>
      <w:r>
        <w:rPr>
          <w:rFonts w:hint="eastAsia" w:ascii="仿宋_GB2312" w:hAnsi="仿宋_GB2312" w:eastAsia="仿宋_GB2312" w:cs="仿宋_GB2312"/>
          <w:b/>
          <w:strike w:val="0"/>
          <w:dstrike w:val="0"/>
          <w:color w:val="auto"/>
          <w:sz w:val="21"/>
          <w:szCs w:val="21"/>
          <w:highlight w:val="none"/>
        </w:rPr>
        <w:t>就</w:t>
      </w:r>
      <w:r>
        <w:rPr>
          <w:rFonts w:hint="eastAsia" w:ascii="仿宋_GB2312" w:hAnsi="仿宋_GB2312" w:eastAsia="仿宋_GB2312" w:cs="仿宋_GB2312"/>
          <w:b/>
          <w:strike w:val="0"/>
          <w:dstrike w:val="0"/>
          <w:color w:val="auto"/>
          <w:sz w:val="21"/>
          <w:szCs w:val="21"/>
          <w:highlight w:val="none"/>
          <w:lang w:val="en-US" w:eastAsia="zh-CN"/>
        </w:rPr>
        <w:t>依据</w:t>
      </w:r>
      <w:r>
        <w:rPr>
          <w:rFonts w:hint="eastAsia" w:ascii="仿宋_GB2312" w:hAnsi="仿宋_GB2312" w:eastAsia="仿宋_GB2312" w:cs="仿宋_GB2312"/>
          <w:b/>
          <w:color w:val="auto"/>
          <w:sz w:val="21"/>
          <w:szCs w:val="21"/>
          <w:highlight w:val="none"/>
        </w:rPr>
        <w:t>客户身份信息识别及账户服务开展尽职调查，包括且不限于审核证明文件、</w:t>
      </w:r>
      <w:r>
        <w:rPr>
          <w:rFonts w:hint="eastAsia" w:ascii="仿宋_GB2312" w:hAnsi="仿宋_GB2312" w:eastAsia="仿宋_GB2312" w:cs="仿宋_GB2312"/>
          <w:b/>
          <w:color w:val="auto"/>
          <w:sz w:val="21"/>
          <w:szCs w:val="21"/>
          <w:highlight w:val="none"/>
          <w:lang w:val="en-US" w:eastAsia="zh-CN"/>
        </w:rPr>
        <w:t>联网核查、</w:t>
      </w:r>
      <w:r>
        <w:rPr>
          <w:rFonts w:hint="eastAsia" w:ascii="仿宋_GB2312" w:hAnsi="仿宋_GB2312" w:eastAsia="仿宋_GB2312" w:cs="仿宋_GB2312"/>
          <w:b/>
          <w:color w:val="auto"/>
          <w:sz w:val="21"/>
          <w:szCs w:val="21"/>
          <w:highlight w:val="none"/>
        </w:rPr>
        <w:t>电话或上门核实、面对面或视频等方式核实法定代表人或单位负责人</w:t>
      </w:r>
      <w:r>
        <w:rPr>
          <w:rFonts w:hint="eastAsia" w:ascii="仿宋_GB2312" w:hAnsi="仿宋_GB2312" w:eastAsia="仿宋_GB2312" w:cs="仿宋_GB2312"/>
          <w:b/>
          <w:strike w:val="0"/>
          <w:dstrike w:val="0"/>
          <w:color w:val="auto"/>
          <w:sz w:val="21"/>
          <w:szCs w:val="21"/>
          <w:highlight w:val="none"/>
        </w:rPr>
        <w:t>开户</w:t>
      </w:r>
      <w:r>
        <w:rPr>
          <w:rFonts w:hint="eastAsia" w:ascii="仿宋_GB2312" w:hAnsi="仿宋_GB2312" w:eastAsia="仿宋_GB2312" w:cs="仿宋_GB2312"/>
          <w:b/>
          <w:strike w:val="0"/>
          <w:dstrike w:val="0"/>
          <w:color w:val="auto"/>
          <w:sz w:val="21"/>
          <w:szCs w:val="21"/>
          <w:highlight w:val="none"/>
          <w:lang w:val="en-US" w:eastAsia="zh-CN"/>
        </w:rPr>
        <w:t>业务</w:t>
      </w:r>
      <w:r>
        <w:rPr>
          <w:rFonts w:hint="eastAsia" w:ascii="仿宋_GB2312" w:hAnsi="仿宋_GB2312" w:eastAsia="仿宋_GB2312" w:cs="仿宋_GB2312"/>
          <w:b/>
          <w:color w:val="auto"/>
          <w:sz w:val="21"/>
          <w:szCs w:val="21"/>
          <w:highlight w:val="none"/>
        </w:rPr>
        <w:t>意愿、向有关部门及专业机构核实等。授权同意乙方通过</w:t>
      </w:r>
      <w:r>
        <w:rPr>
          <w:rFonts w:hint="eastAsia" w:ascii="仿宋_GB2312" w:hAnsi="仿宋_GB2312" w:eastAsia="仿宋_GB2312" w:cs="仿宋_GB2312"/>
          <w:b/>
          <w:color w:val="auto"/>
          <w:sz w:val="21"/>
          <w:szCs w:val="21"/>
          <w:highlight w:val="none"/>
          <w:lang w:val="en-US" w:eastAsia="zh-CN"/>
        </w:rPr>
        <w:t>收集、存储、使用、加工、传输、提供、删除的方式处理甲</w:t>
      </w:r>
      <w:r>
        <w:rPr>
          <w:rFonts w:hint="eastAsia" w:ascii="仿宋_GB2312" w:hAnsi="仿宋_GB2312" w:eastAsia="仿宋_GB2312" w:cs="仿宋_GB2312"/>
          <w:b/>
          <w:color w:val="auto"/>
          <w:sz w:val="21"/>
          <w:szCs w:val="21"/>
          <w:highlight w:val="none"/>
        </w:rPr>
        <w:t>方的</w:t>
      </w:r>
      <w:r>
        <w:rPr>
          <w:rFonts w:hint="eastAsia" w:ascii="仿宋_GB2312" w:hAnsi="仿宋_GB2312" w:eastAsia="仿宋_GB2312" w:cs="仿宋_GB2312"/>
          <w:b/>
          <w:color w:val="auto"/>
          <w:sz w:val="21"/>
          <w:szCs w:val="21"/>
          <w:highlight w:val="none"/>
          <w:lang w:val="en-US" w:eastAsia="zh-CN"/>
        </w:rPr>
        <w:t>相关</w:t>
      </w:r>
      <w:r>
        <w:rPr>
          <w:rFonts w:hint="eastAsia" w:ascii="仿宋_GB2312" w:hAnsi="仿宋_GB2312" w:eastAsia="仿宋_GB2312" w:cs="仿宋_GB2312"/>
          <w:b/>
          <w:color w:val="auto"/>
          <w:sz w:val="21"/>
          <w:szCs w:val="21"/>
          <w:highlight w:val="none"/>
        </w:rPr>
        <w:t>信息</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lang w:val="en-US" w:eastAsia="zh-CN"/>
        </w:rPr>
        <w:t>包括但不限于</w:t>
      </w:r>
      <w:r>
        <w:rPr>
          <w:rFonts w:hint="eastAsia" w:ascii="仿宋_GB2312" w:hAnsi="仿宋_GB2312" w:eastAsia="仿宋_GB2312" w:cs="仿宋_GB2312"/>
          <w:b/>
          <w:color w:val="auto"/>
          <w:sz w:val="21"/>
          <w:szCs w:val="21"/>
          <w:highlight w:val="none"/>
        </w:rPr>
        <w:t>基础信息、</w:t>
      </w:r>
      <w:r>
        <w:rPr>
          <w:rFonts w:hint="eastAsia" w:ascii="仿宋_GB2312" w:hAnsi="仿宋_GB2312" w:eastAsia="仿宋_GB2312" w:cs="仿宋_GB2312"/>
          <w:b/>
          <w:color w:val="auto"/>
          <w:sz w:val="21"/>
          <w:szCs w:val="21"/>
          <w:highlight w:val="none"/>
          <w:lang w:val="en-US" w:eastAsia="zh-CN"/>
        </w:rPr>
        <w:t>实际控制人信息、</w:t>
      </w:r>
      <w:r>
        <w:rPr>
          <w:rFonts w:hint="eastAsia" w:ascii="仿宋_GB2312" w:hAnsi="仿宋_GB2312" w:eastAsia="仿宋_GB2312" w:cs="仿宋_GB2312"/>
          <w:b/>
          <w:color w:val="auto"/>
          <w:sz w:val="21"/>
          <w:szCs w:val="21"/>
          <w:highlight w:val="none"/>
        </w:rPr>
        <w:t>受益所有人信息、</w:t>
      </w:r>
      <w:r>
        <w:rPr>
          <w:rFonts w:hint="eastAsia" w:ascii="仿宋_GB2312" w:hAnsi="仿宋_GB2312" w:eastAsia="仿宋_GB2312" w:cs="仿宋_GB2312"/>
          <w:b/>
          <w:color w:val="auto"/>
          <w:sz w:val="21"/>
          <w:szCs w:val="21"/>
          <w:highlight w:val="none"/>
          <w:lang w:val="en-US" w:eastAsia="zh-CN"/>
        </w:rPr>
        <w:t>上级法人信息、</w:t>
      </w:r>
      <w:r>
        <w:rPr>
          <w:rFonts w:hint="eastAsia" w:ascii="仿宋_GB2312" w:hAnsi="仿宋_GB2312" w:eastAsia="仿宋_GB2312" w:cs="仿宋_GB2312"/>
          <w:b/>
          <w:color w:val="auto"/>
          <w:sz w:val="21"/>
          <w:szCs w:val="21"/>
          <w:highlight w:val="none"/>
        </w:rPr>
        <w:t>法定代表人</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lang w:val="en-US" w:eastAsia="zh-CN"/>
        </w:rPr>
        <w:t>单位负责人）</w:t>
      </w:r>
      <w:r>
        <w:rPr>
          <w:rFonts w:hint="eastAsia" w:ascii="仿宋_GB2312" w:hAnsi="仿宋_GB2312" w:eastAsia="仿宋_GB2312" w:cs="仿宋_GB2312"/>
          <w:b/>
          <w:color w:val="auto"/>
          <w:sz w:val="21"/>
          <w:szCs w:val="21"/>
          <w:highlight w:val="none"/>
        </w:rPr>
        <w:t>及代</w:t>
      </w:r>
      <w:r>
        <w:rPr>
          <w:rFonts w:hint="eastAsia" w:ascii="仿宋_GB2312" w:hAnsi="仿宋_GB2312" w:eastAsia="仿宋_GB2312" w:cs="仿宋_GB2312"/>
          <w:b/>
          <w:color w:val="auto"/>
          <w:sz w:val="21"/>
          <w:szCs w:val="21"/>
          <w:highlight w:val="none"/>
          <w:lang w:val="en-US" w:eastAsia="zh-CN"/>
        </w:rPr>
        <w:t>理</w:t>
      </w:r>
      <w:r>
        <w:rPr>
          <w:rFonts w:hint="eastAsia" w:ascii="仿宋_GB2312" w:hAnsi="仿宋_GB2312" w:eastAsia="仿宋_GB2312" w:cs="仿宋_GB2312"/>
          <w:b/>
          <w:color w:val="auto"/>
          <w:sz w:val="21"/>
          <w:szCs w:val="21"/>
          <w:highlight w:val="none"/>
        </w:rPr>
        <w:t>人的身份信息和手机号码、</w:t>
      </w:r>
      <w:r>
        <w:rPr>
          <w:rFonts w:hint="eastAsia" w:ascii="仿宋_GB2312" w:hAnsi="仿宋_GB2312" w:eastAsia="仿宋_GB2312" w:cs="仿宋_GB2312"/>
          <w:b/>
          <w:color w:val="auto"/>
          <w:sz w:val="21"/>
          <w:szCs w:val="21"/>
          <w:highlight w:val="none"/>
          <w:lang w:val="en-US" w:eastAsia="zh-CN"/>
        </w:rPr>
        <w:t>机构税收居民国信息、联网核查企业工商、</w:t>
      </w:r>
      <w:r>
        <w:rPr>
          <w:rFonts w:hint="eastAsia" w:ascii="仿宋_GB2312" w:hAnsi="仿宋_GB2312" w:eastAsia="仿宋_GB2312" w:cs="仿宋_GB2312"/>
          <w:b/>
          <w:color w:val="auto"/>
          <w:sz w:val="21"/>
          <w:szCs w:val="21"/>
          <w:highlight w:val="none"/>
        </w:rPr>
        <w:t>企业纳税状态、相关人员手机归属运营商信息</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lang w:val="en-US" w:eastAsia="zh-CN"/>
        </w:rPr>
        <w:t>对账联系人姓名和手机、金融账户信息（支付账号，账户开立、变更、撤销时间及机构，交易记录、账户余额以及基于上述信息产生的支付标记信息等）、以</w:t>
      </w:r>
      <w:bookmarkStart w:id="1" w:name="_GoBack"/>
      <w:bookmarkEnd w:id="1"/>
      <w:r>
        <w:rPr>
          <w:rFonts w:hint="eastAsia" w:ascii="仿宋_GB2312" w:hAnsi="仿宋_GB2312" w:eastAsia="仿宋_GB2312" w:cs="仿宋_GB2312"/>
          <w:b/>
          <w:color w:val="auto"/>
          <w:sz w:val="21"/>
          <w:szCs w:val="21"/>
          <w:highlight w:val="none"/>
          <w:lang w:val="en-US" w:eastAsia="zh-CN"/>
        </w:rPr>
        <w:t>及按照法律法规</w:t>
      </w:r>
      <w:r>
        <w:rPr>
          <w:rFonts w:hint="eastAsia" w:ascii="仿宋_GB2312" w:hAnsi="仿宋_GB2312" w:eastAsia="仿宋_GB2312" w:cs="仿宋_GB2312"/>
          <w:b/>
          <w:strike w:val="0"/>
          <w:dstrike w:val="0"/>
          <w:color w:val="auto"/>
          <w:sz w:val="21"/>
          <w:szCs w:val="21"/>
          <w:highlight w:val="none"/>
          <w:lang w:val="en-US" w:eastAsia="zh-CN"/>
        </w:rPr>
        <w:t>和</w:t>
      </w:r>
      <w:r>
        <w:rPr>
          <w:rFonts w:hint="eastAsia" w:ascii="仿宋_GB2312" w:hAnsi="仿宋_GB2312" w:eastAsia="仿宋_GB2312" w:cs="仿宋_GB2312"/>
          <w:b/>
          <w:color w:val="auto"/>
          <w:sz w:val="21"/>
          <w:szCs w:val="21"/>
          <w:highlight w:val="none"/>
          <w:lang w:val="en-US" w:eastAsia="zh-CN"/>
        </w:rPr>
        <w:t>监管要求进行反洗钱、防诈审核时需要的辅助身份证明材料。上述信息为乙方为甲方办理开户、变更、销户业务所必须的存款人信息。在账户存续期间，乙方有权根据监管要求及风险状况，持续开展客户身份识别与尽职调查，甲方应配合提供更新的身份证明文件、经营状况、资金用途、受益所有人信息等资料，并及时告知相关信息变更情况。乙方将依法依规对账户交易进行监测，对异常交易行为采取相应的管控措施。</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422" w:firstLineChars="200"/>
        <w:jc w:val="both"/>
        <w:textAlignment w:val="auto"/>
        <w:rPr>
          <w:rFonts w:hint="eastAsia" w:ascii="仿宋_GB2312" w:hAnsi="仿宋_GB2312" w:eastAsia="仿宋_GB2312" w:cs="仿宋_GB2312"/>
          <w:b/>
          <w:color w:val="auto"/>
          <w:kern w:val="2"/>
          <w:sz w:val="21"/>
          <w:szCs w:val="21"/>
          <w:highlight w:val="none"/>
          <w:lang w:val="en-US" w:eastAsia="zh-CN" w:bidi="ar-SA"/>
        </w:rPr>
      </w:pPr>
      <w:r>
        <w:rPr>
          <w:rFonts w:hint="eastAsia" w:ascii="仿宋_GB2312" w:hAnsi="仿宋_GB2312" w:eastAsia="仿宋_GB2312" w:cs="仿宋_GB2312"/>
          <w:b/>
          <w:color w:val="auto"/>
          <w:kern w:val="2"/>
          <w:sz w:val="21"/>
          <w:szCs w:val="21"/>
          <w:highlight w:val="none"/>
          <w:lang w:val="en-US" w:eastAsia="zh-CN" w:bidi="ar-SA"/>
        </w:rPr>
        <w:t>甲方知悉，为提供账户服务及满足国家监管要求，乙方将在符合法律规定的前提下，向有权机关（如反洗钱相关机构、行政机关、司法机关或其他有关单位）提供相关信息，包括存款人基础信息、法定代表人及代</w:t>
      </w:r>
      <w:r>
        <w:rPr>
          <w:rFonts w:hint="eastAsia" w:ascii="仿宋_GB2312" w:hAnsi="仿宋_GB2312" w:eastAsia="仿宋_GB2312" w:cs="仿宋_GB2312"/>
          <w:b/>
          <w:color w:val="auto"/>
          <w:sz w:val="21"/>
          <w:szCs w:val="21"/>
          <w:highlight w:val="none"/>
          <w:lang w:val="en-US" w:eastAsia="zh-CN"/>
        </w:rPr>
        <w:t>理</w:t>
      </w:r>
      <w:r>
        <w:rPr>
          <w:rFonts w:hint="eastAsia" w:ascii="仿宋_GB2312" w:hAnsi="仿宋_GB2312" w:eastAsia="仿宋_GB2312" w:cs="仿宋_GB2312"/>
          <w:b/>
          <w:color w:val="auto"/>
          <w:kern w:val="2"/>
          <w:sz w:val="21"/>
          <w:szCs w:val="21"/>
          <w:highlight w:val="none"/>
          <w:lang w:val="en-US" w:eastAsia="zh-CN" w:bidi="ar-SA"/>
        </w:rPr>
        <w:t>人身份证件信息和手机号码、金融账户信息等。</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strike/>
          <w:color w:val="auto"/>
          <w:sz w:val="21"/>
          <w:szCs w:val="21"/>
          <w:highlight w:val="none"/>
        </w:rPr>
      </w:pPr>
      <w:r>
        <w:rPr>
          <w:rFonts w:hint="eastAsia" w:ascii="仿宋_GB2312" w:hAnsi="仿宋_GB2312" w:eastAsia="仿宋_GB2312" w:cs="仿宋_GB2312"/>
          <w:b/>
          <w:color w:val="auto"/>
          <w:sz w:val="21"/>
          <w:szCs w:val="21"/>
          <w:highlight w:val="none"/>
        </w:rPr>
        <w:t>第三条</w:t>
      </w:r>
      <w:r>
        <w:rPr>
          <w:rFonts w:hint="eastAsia" w:ascii="仿宋_GB2312" w:hAnsi="仿宋_GB2312" w:eastAsia="仿宋_GB2312" w:cs="仿宋_GB2312"/>
          <w:color w:val="auto"/>
          <w:sz w:val="21"/>
          <w:szCs w:val="21"/>
          <w:highlight w:val="none"/>
        </w:rPr>
        <w:t xml:space="preserve"> 甲方因自身经营和财务管理需要，在符合法律法规以及乙方相关规定的前提下，可选择开通本外币多币种资金结算服务，或选择单币种资金结算服务。</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第四条</w:t>
      </w:r>
      <w:r>
        <w:rPr>
          <w:rFonts w:hint="eastAsia" w:ascii="仿宋_GB2312" w:hAnsi="仿宋_GB2312" w:eastAsia="仿宋_GB2312" w:cs="仿宋_GB2312"/>
          <w:color w:val="auto"/>
          <w:sz w:val="21"/>
          <w:szCs w:val="21"/>
          <w:highlight w:val="none"/>
        </w:rPr>
        <w:t xml:space="preserve"> 甲方与乙方约定单位银行结算账户使用的身份验证方式可以为预留签章、数字证书或者双方认可的其他身份验证方式。法律、行政法规或者中国人民银行、国家外汇管理局另有规定的，从其规定。</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第五条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sz w:val="21"/>
          <w:szCs w:val="21"/>
          <w:highlight w:val="none"/>
        </w:rPr>
        <w:t>乙方为甲方开立银行结算账户后，如发现甲方提供的账户资料不完整、不合规，应当立即通知甲方更正，甲</w:t>
      </w:r>
      <w:r>
        <w:rPr>
          <w:rFonts w:hint="eastAsia" w:ascii="仿宋_GB2312" w:hAnsi="仿宋_GB2312" w:eastAsia="仿宋_GB2312" w:cs="仿宋_GB2312"/>
          <w:b/>
          <w:color w:val="auto"/>
          <w:sz w:val="21"/>
          <w:szCs w:val="21"/>
          <w:highlight w:val="none"/>
        </w:rPr>
        <w:t>方无法按规定补充资料或重新提交的，乙方有权对账户采取控制措施，甲方应尽快销户。</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第六条</w:t>
      </w:r>
      <w:r>
        <w:rPr>
          <w:rFonts w:hint="eastAsia" w:ascii="仿宋_GB2312" w:hAnsi="仿宋_GB2312" w:eastAsia="仿宋_GB2312" w:cs="仿宋_GB2312"/>
          <w:color w:val="auto"/>
          <w:sz w:val="21"/>
          <w:szCs w:val="21"/>
          <w:highlight w:val="none"/>
        </w:rPr>
        <w:t xml:space="preserve"> 甲方应按支付结算制度使用支付结算工具，并按乙方有关规定支付服务费用。</w:t>
      </w:r>
      <w:r>
        <w:rPr>
          <w:rFonts w:hint="eastAsia" w:ascii="仿宋_GB2312" w:hAnsi="仿宋_GB2312" w:eastAsia="仿宋_GB2312" w:cs="仿宋_GB2312"/>
          <w:b/>
          <w:bCs/>
          <w:color w:val="auto"/>
          <w:sz w:val="21"/>
          <w:szCs w:val="21"/>
          <w:highlight w:val="none"/>
        </w:rPr>
        <w:t>如甲方未按规定使用支付结算工具、违规使用结算服务或未支付结算服务费用的，乙方有权停止该银行结算账户的支付。</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color w:val="auto"/>
          <w:sz w:val="21"/>
          <w:szCs w:val="21"/>
          <w:highlight w:val="none"/>
        </w:rPr>
      </w:pPr>
      <w:bookmarkStart w:id="0" w:name="OLE_LINK1"/>
      <w:r>
        <w:rPr>
          <w:rFonts w:hint="eastAsia" w:ascii="仿宋_GB2312" w:hAnsi="仿宋_GB2312" w:eastAsia="仿宋_GB2312" w:cs="仿宋_GB2312"/>
          <w:b/>
          <w:color w:val="auto"/>
          <w:sz w:val="21"/>
          <w:szCs w:val="21"/>
          <w:highlight w:val="none"/>
        </w:rPr>
        <w:t>乙方根据甲方的业务申请为甲方办理银行业务，按照乙方收费标准需要收取银行费用时，甲方同意乙方可直接在出账的账户中扣划相应的银行业务费用，扣划凭证无需甲方确认。乙方在业务范围内的银行业务费用扣划行为，甲方予以确认。</w:t>
      </w:r>
      <w:r>
        <w:rPr>
          <w:rFonts w:hint="eastAsia" w:ascii="仿宋_GB2312" w:hAnsi="仿宋_GB2312" w:eastAsia="仿宋_GB2312" w:cs="仿宋_GB2312"/>
          <w:b/>
          <w:bCs/>
          <w:color w:val="auto"/>
          <w:sz w:val="21"/>
          <w:szCs w:val="21"/>
          <w:highlight w:val="none"/>
          <w:shd w:val="clear" w:color="auto" w:fill="FFFFFF"/>
        </w:rPr>
        <w:t>具体收费项目和收费标准以乙方网站公布或公告的《</w:t>
      </w:r>
      <w:r>
        <w:rPr>
          <w:rFonts w:hint="eastAsia" w:ascii="仿宋_GB2312" w:hAnsi="仿宋_GB2312" w:eastAsia="仿宋_GB2312" w:cs="仿宋_GB2312"/>
          <w:b/>
          <w:bCs/>
          <w:color w:val="auto"/>
          <w:sz w:val="21"/>
          <w:szCs w:val="21"/>
          <w:highlight w:val="none"/>
          <w:shd w:val="clear" w:color="auto" w:fill="FFFFFF"/>
          <w:lang w:val="en-US" w:eastAsia="zh-CN"/>
        </w:rPr>
        <w:t>东莞农村商业银行股份有限公司</w:t>
      </w:r>
      <w:r>
        <w:rPr>
          <w:rFonts w:hint="eastAsia" w:ascii="仿宋_GB2312" w:hAnsi="仿宋_GB2312" w:eastAsia="仿宋_GB2312" w:cs="仿宋_GB2312"/>
          <w:b/>
          <w:bCs/>
          <w:color w:val="auto"/>
          <w:sz w:val="21"/>
          <w:szCs w:val="21"/>
          <w:highlight w:val="none"/>
          <w:shd w:val="clear" w:color="auto" w:fill="FFFFFF"/>
        </w:rPr>
        <w:t>服务</w:t>
      </w:r>
      <w:r>
        <w:rPr>
          <w:rFonts w:hint="eastAsia" w:ascii="仿宋_GB2312" w:hAnsi="仿宋_GB2312" w:eastAsia="仿宋_GB2312" w:cs="仿宋_GB2312"/>
          <w:b/>
          <w:bCs/>
          <w:color w:val="auto"/>
          <w:sz w:val="21"/>
          <w:szCs w:val="21"/>
          <w:highlight w:val="none"/>
          <w:shd w:val="clear" w:color="auto" w:fill="FFFFFF"/>
          <w:lang w:val="en-US" w:eastAsia="zh-CN"/>
        </w:rPr>
        <w:t>收费业务</w:t>
      </w:r>
      <w:r>
        <w:rPr>
          <w:rFonts w:hint="eastAsia" w:ascii="仿宋_GB2312" w:hAnsi="仿宋_GB2312" w:eastAsia="仿宋_GB2312" w:cs="仿宋_GB2312"/>
          <w:b/>
          <w:bCs/>
          <w:color w:val="auto"/>
          <w:sz w:val="21"/>
          <w:szCs w:val="21"/>
          <w:highlight w:val="none"/>
          <w:shd w:val="clear" w:color="auto" w:fill="FFFFFF"/>
        </w:rPr>
        <w:t>价目表》为准。</w:t>
      </w:r>
    </w:p>
    <w:bookmarkEnd w:id="0"/>
    <w:p>
      <w:pPr>
        <w:keepNext w:val="0"/>
        <w:keepLines w:val="0"/>
        <w:pageBreakBefore w:val="0"/>
        <w:kinsoku/>
        <w:wordWrap/>
        <w:overflowPunct/>
        <w:topLinePunct w:val="0"/>
        <w:autoSpaceDE/>
        <w:autoSpaceDN/>
        <w:bidi w:val="0"/>
        <w:adjustRightInd/>
        <w:snapToGrid/>
        <w:spacing w:line="240" w:lineRule="auto"/>
        <w:ind w:firstLine="422" w:firstLineChars="200"/>
        <w:jc w:val="left"/>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color w:val="auto"/>
          <w:sz w:val="21"/>
          <w:szCs w:val="21"/>
          <w:highlight w:val="none"/>
        </w:rPr>
        <w:t>第七条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color w:val="auto"/>
          <w:sz w:val="21"/>
          <w:szCs w:val="21"/>
          <w:highlight w:val="none"/>
        </w:rPr>
        <w:t>甲方</w:t>
      </w:r>
      <w:r>
        <w:rPr>
          <w:rFonts w:hint="eastAsia" w:ascii="仿宋_GB2312" w:hAnsi="仿宋_GB2312" w:eastAsia="仿宋_GB2312" w:cs="仿宋_GB2312"/>
          <w:b/>
          <w:bCs/>
          <w:color w:val="auto"/>
          <w:sz w:val="21"/>
          <w:szCs w:val="21"/>
          <w:highlight w:val="none"/>
        </w:rPr>
        <w:t>充分了解并清楚知晓出租、出借、出售、购买账户的相关法律责任和惩戒措施，承诺依法依规开立和使用本单位账户。</w:t>
      </w:r>
      <w:r>
        <w:rPr>
          <w:rFonts w:hint="eastAsia" w:ascii="仿宋_GB2312" w:hAnsi="仿宋_GB2312" w:eastAsia="仿宋_GB2312" w:cs="仿宋_GB2312"/>
          <w:b/>
          <w:bCs w:val="0"/>
          <w:color w:val="auto"/>
          <w:sz w:val="21"/>
          <w:szCs w:val="21"/>
          <w:highlight w:val="none"/>
        </w:rPr>
        <w:t>具体法律责任和惩戒措施如下：对经设区的市级以上公安机关认定的出租、出借、出售、购买银行账户的个人（单位）及其组织者</w:t>
      </w:r>
      <w:r>
        <w:rPr>
          <w:rFonts w:hint="eastAsia" w:ascii="仿宋_GB2312" w:hAnsi="仿宋_GB2312" w:eastAsia="仿宋_GB2312" w:cs="仿宋_GB2312"/>
          <w:b/>
          <w:bCs/>
          <w:color w:val="auto"/>
          <w:kern w:val="0"/>
          <w:sz w:val="21"/>
          <w:szCs w:val="21"/>
          <w:highlight w:val="none"/>
          <w:lang w:val="en-US" w:eastAsia="zh-CN"/>
        </w:rPr>
        <w:t>以及因实施电信诈骗犯罪等关联犯罪受过刑事处罚的人员，自2024年12月1日起，按照《电信网络诈骗及其关联违法犯罪联合惩戒办法》要求，限制其名下银行账户、数字人民币钱包的非柜面出金以及暂停新开立实名数字人民币钱包等规定的相关功能。</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color w:val="auto"/>
          <w:sz w:val="21"/>
          <w:szCs w:val="21"/>
          <w:highlight w:val="none"/>
        </w:rPr>
        <w:t>第八条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color w:val="auto"/>
          <w:sz w:val="21"/>
          <w:szCs w:val="21"/>
          <w:highlight w:val="none"/>
        </w:rPr>
        <w:t>甲方承诺不会利用在乙方开立的银行结算账户进行逃税漏税、逃废债务、套取现金、洗钱及其它违法犯罪活动，严格按照国家反洗钱、反电诈等相关法律法规办理各项业务。</w:t>
      </w:r>
      <w:r>
        <w:rPr>
          <w:rFonts w:hint="eastAsia" w:ascii="仿宋_GB2312" w:hAnsi="仿宋_GB2312" w:eastAsia="仿宋_GB2312" w:cs="仿宋_GB2312"/>
          <w:b/>
          <w:bCs/>
          <w:color w:val="auto"/>
          <w:sz w:val="21"/>
          <w:szCs w:val="21"/>
          <w:highlight w:val="none"/>
        </w:rPr>
        <w:t>如甲方违法使用在乙方开立的银行结算账户的，乙方有权停止该银行结算账户使用。</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
          <w:color w:val="auto"/>
          <w:sz w:val="21"/>
          <w:szCs w:val="21"/>
          <w:highlight w:val="none"/>
        </w:rPr>
        <w:t>第九条</w:t>
      </w:r>
      <w:r>
        <w:rPr>
          <w:rFonts w:hint="eastAsia" w:ascii="仿宋_GB2312" w:hAnsi="仿宋_GB2312" w:eastAsia="仿宋_GB2312" w:cs="仿宋_GB2312"/>
          <w:b/>
          <w:bCs/>
          <w:color w:val="auto"/>
          <w:sz w:val="21"/>
          <w:szCs w:val="21"/>
          <w:highlight w:val="none"/>
        </w:rPr>
        <w:t xml:space="preserve"> 甲方应严格按照《票据法》的规定签发使用支票，严禁签发空头支票。甲方应在账户内存入足够的资金保证支付，如甲方签发空头支票，或签发与预留印鉴不符的、要素不全等不符规定的支票，乙方有权予以退票或拒绝执行该支付指令，由此引起的任何损失，乙方无需承担责任。若甲方屡次签发空头支票或者签发与预留银行印鉴不符的支票，乙方有权限售或停售支票。</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第十条</w:t>
      </w:r>
      <w:r>
        <w:rPr>
          <w:rFonts w:hint="eastAsia" w:ascii="仿宋_GB2312" w:hAnsi="仿宋_GB2312" w:eastAsia="仿宋_GB2312" w:cs="仿宋_GB2312"/>
          <w:color w:val="auto"/>
          <w:sz w:val="21"/>
          <w:szCs w:val="21"/>
          <w:highlight w:val="none"/>
        </w:rPr>
        <w:t xml:space="preserve"> 乙方为甲方办理支付结算业务时，须依法保障甲方的资金安全，依法为甲方的银行结算账户信息保密。对甲方银行结算账户的存款和有关资料，除国家法律、行政法规另有规定外，乙方有权拒绝任何单位和个人查询。 </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第十一条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sz w:val="21"/>
          <w:szCs w:val="21"/>
          <w:highlight w:val="none"/>
        </w:rPr>
        <w:t>乙方有权在国家法律行政法规下披露资料，有权向政府及监管机构和信贷评级机构披露资料。</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第十二条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sz w:val="21"/>
          <w:szCs w:val="21"/>
          <w:highlight w:val="none"/>
        </w:rPr>
        <w:t>甲方的开户信息资料发生变更的，应于5个工作日内向乙方提出变更申请并出具有关部门的证明文件；</w:t>
      </w:r>
      <w:r>
        <w:rPr>
          <w:rFonts w:hint="eastAsia" w:ascii="仿宋_GB2312" w:hAnsi="仿宋_GB2312" w:eastAsia="仿宋_GB2312" w:cs="仿宋_GB2312"/>
          <w:b/>
          <w:color w:val="auto"/>
          <w:sz w:val="21"/>
          <w:szCs w:val="21"/>
          <w:highlight w:val="none"/>
        </w:rPr>
        <w:t>如甲方开户资料变更未在规定时间内通知乙方，造成乙方无法准确、及时地为甲方处理有关业务的，乙方视情况协助甲方解决问题或提供必要的帮助，但不承担因此而造成甲方无法处理业务的损失和责任。</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第十三条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sz w:val="21"/>
          <w:szCs w:val="21"/>
          <w:highlight w:val="none"/>
        </w:rPr>
        <w:t>乙方发现甲方名称、法定代表人或单位负责人发生变更且甲方未提出变更申请的，应通知甲方及时办理变更手续。</w:t>
      </w:r>
      <w:r>
        <w:rPr>
          <w:rFonts w:hint="eastAsia" w:ascii="仿宋_GB2312" w:hAnsi="仿宋_GB2312" w:eastAsia="仿宋_GB2312" w:cs="仿宋_GB2312"/>
          <w:b/>
          <w:color w:val="auto"/>
          <w:sz w:val="21"/>
          <w:szCs w:val="21"/>
          <w:highlight w:val="none"/>
        </w:rPr>
        <w:t>甲方自乙方通知送达之日起30日内仍未办理变更手续，且未提出合理理由的，乙方有权采取措施适当控制账户交易。</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第十四条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color w:val="auto"/>
          <w:sz w:val="21"/>
          <w:szCs w:val="21"/>
          <w:highlight w:val="none"/>
        </w:rPr>
        <w:t>甲方出具的企业营业执照、法定代表人或单位负责人有效身份证件已过有效期的，甲方在乙方通知后，30日内仍未更新，且未提出合理理由的，乙方有权对甲方账户采取只收不付的控制措施。甲方账户被采取只收不付措施后30日内，甲方仍未到乙方更新有效身份证件信息，且未提出合理理由的，乙方可对甲方账户采取不收不付的控制措施。</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第十五条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sz w:val="21"/>
          <w:szCs w:val="21"/>
          <w:highlight w:val="none"/>
        </w:rPr>
        <w:t>乙方按规定对甲方开立的银行结算账户进行年检，甲方应配合乙方提供年检所需的开户资料及办理年检手续。如在年检中，该账户不符合《人民币银行结算账户管理办法》、《企业银行结算账户管理办法》规定开立条件的，乙方有权停止该账户的使用。</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第十六条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kern w:val="0"/>
          <w:sz w:val="21"/>
          <w:szCs w:val="21"/>
          <w:highlight w:val="none"/>
        </w:rPr>
        <w:t>甲乙双方对账的账户包括但不限于人民币存款账户、外汇账户。</w:t>
      </w:r>
      <w:r>
        <w:rPr>
          <w:rFonts w:hint="eastAsia" w:ascii="仿宋_GB2312" w:hAnsi="仿宋_GB2312" w:eastAsia="仿宋_GB2312" w:cs="仿宋_GB2312"/>
          <w:b/>
          <w:color w:val="auto"/>
          <w:kern w:val="0"/>
          <w:sz w:val="21"/>
          <w:szCs w:val="21"/>
          <w:highlight w:val="none"/>
        </w:rPr>
        <w:t>甲乙双方应按月或按季共同做好对账工作，并可约定电子对账或纸质对账方式，已约定为电子对账的，乙方有权视风险情况向甲方采取纸质账单对账</w:t>
      </w:r>
      <w:r>
        <w:rPr>
          <w:rFonts w:hint="eastAsia" w:ascii="仿宋_GB2312" w:hAnsi="仿宋_GB2312" w:eastAsia="仿宋_GB2312" w:cs="仿宋_GB2312"/>
          <w:b/>
          <w:color w:val="auto"/>
          <w:sz w:val="21"/>
          <w:szCs w:val="21"/>
          <w:highlight w:val="none"/>
        </w:rPr>
        <w:t>。电子对账可通过网上银行、手机银行、微信银行、智能设备等渠道供甲方进行账</w:t>
      </w:r>
      <w:r>
        <w:rPr>
          <w:rFonts w:hint="eastAsia" w:ascii="仿宋_GB2312" w:hAnsi="仿宋_GB2312" w:eastAsia="仿宋_GB2312" w:cs="仿宋_GB2312"/>
          <w:b/>
          <w:color w:val="auto"/>
          <w:sz w:val="21"/>
          <w:szCs w:val="21"/>
          <w:highlight w:val="none"/>
          <w:lang w:val="en-US" w:eastAsia="zh-CN"/>
        </w:rPr>
        <w:t>户</w:t>
      </w:r>
      <w:r>
        <w:rPr>
          <w:rFonts w:hint="eastAsia" w:ascii="仿宋_GB2312" w:hAnsi="仿宋_GB2312" w:eastAsia="仿宋_GB2312" w:cs="仿宋_GB2312"/>
          <w:b/>
          <w:color w:val="auto"/>
          <w:sz w:val="21"/>
          <w:szCs w:val="21"/>
          <w:highlight w:val="none"/>
        </w:rPr>
        <w:t>余额核对，纸质对账可通过邮寄、临柜、上门等方式进行账</w:t>
      </w:r>
      <w:r>
        <w:rPr>
          <w:rFonts w:hint="eastAsia" w:ascii="仿宋_GB2312" w:hAnsi="仿宋_GB2312" w:eastAsia="仿宋_GB2312" w:cs="仿宋_GB2312"/>
          <w:b/>
          <w:strike w:val="0"/>
          <w:dstrike w:val="0"/>
          <w:color w:val="auto"/>
          <w:sz w:val="21"/>
          <w:szCs w:val="21"/>
          <w:highlight w:val="none"/>
          <w:lang w:val="en-US" w:eastAsia="zh-CN"/>
        </w:rPr>
        <w:t>户</w:t>
      </w:r>
      <w:r>
        <w:rPr>
          <w:rFonts w:hint="eastAsia" w:ascii="仿宋_GB2312" w:hAnsi="仿宋_GB2312" w:eastAsia="仿宋_GB2312" w:cs="仿宋_GB2312"/>
          <w:b/>
          <w:color w:val="auto"/>
          <w:sz w:val="21"/>
          <w:szCs w:val="21"/>
          <w:highlight w:val="none"/>
        </w:rPr>
        <w:t>余额核对，甲方收到对账单（或对账信息）应及时向乙方返回对账回执，甲方未及时对账的，乙方有权采取控制账户交易措施。</w:t>
      </w:r>
      <w:r>
        <w:rPr>
          <w:rFonts w:hint="eastAsia" w:ascii="仿宋_GB2312" w:hAnsi="仿宋_GB2312" w:eastAsia="仿宋_GB2312" w:cs="仿宋_GB2312"/>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甲方同意并授权乙方在委托第三方合作机构开展对账单邮寄服务时，将甲方的对账信息（包括对账联系人姓名、对账联系人电话、对账联系地址、开户机构、单位名称、账号、币种、账户余额、质押金额、账单日期、对账单编号等必要信息）提供给第三方机构，仅用于对账单的打印、封装、投递及回执回收等相关处理。</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甲方对账联系人信息、对账联系地址如有变动，须及时至乙方办理变更手续。因甲方对账联系人信息有误或未及时通知乙方等原因，造成未及时对账而产生的相关责任，由甲方自行承担，乙方有权采取控制账户交易措施。</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第十七条 乙方有权对甲方一年或以上未发生收付活动且未欠乙方债务的银行结算账户列入久悬不动户处理。乙方应通知甲方30日内办理销户手续，逾期未来办理销户手续的，视同自愿销户，乙方有权将该账户未划转款项列入久悬未取专户管理。</w:t>
      </w:r>
      <w:r>
        <w:rPr>
          <w:rFonts w:hint="eastAsia" w:ascii="仿宋_GB2312" w:hAnsi="仿宋_GB2312" w:eastAsia="仿宋_GB2312" w:cs="仿宋_GB2312"/>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第十八条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color w:val="auto"/>
          <w:sz w:val="21"/>
          <w:szCs w:val="21"/>
          <w:highlight w:val="none"/>
        </w:rPr>
        <w:t>经乙方认定存在以下情形，乙方有权视实际情况对甲方账户采取合理设置非柜面渠道转出日限额、暂停非柜面业务、</w:t>
      </w:r>
      <w:r>
        <w:rPr>
          <w:rFonts w:hint="eastAsia" w:ascii="仿宋_GB2312" w:hAnsi="仿宋_GB2312" w:eastAsia="仿宋_GB2312" w:cs="仿宋_GB2312"/>
          <w:b/>
          <w:color w:val="auto"/>
          <w:sz w:val="21"/>
          <w:szCs w:val="21"/>
          <w:highlight w:val="none"/>
          <w:lang w:val="en-US" w:eastAsia="zh-CN"/>
        </w:rPr>
        <w:t>限制非柜面出金、</w:t>
      </w:r>
      <w:r>
        <w:rPr>
          <w:rFonts w:hint="eastAsia" w:ascii="仿宋_GB2312" w:hAnsi="仿宋_GB2312" w:eastAsia="仿宋_GB2312" w:cs="仿宋_GB2312"/>
          <w:b/>
          <w:color w:val="auto"/>
          <w:sz w:val="21"/>
          <w:szCs w:val="21"/>
          <w:highlight w:val="none"/>
        </w:rPr>
        <w:t>中止使用等措施：</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（一）乙方基于甲方的身份基本特征、账户使用情况等信息，为甲方的账户设置相应“非柜面渠道转出日限额”,并有权根据甲方的账户风险评估最新情况对该限额进行动态调整。（二）甲方账户开</w:t>
      </w:r>
      <w:r>
        <w:rPr>
          <w:rFonts w:hint="eastAsia" w:ascii="仿宋_GB2312" w:hAnsi="仿宋_GB2312" w:eastAsia="仿宋_GB2312" w:cs="仿宋_GB2312"/>
          <w:b/>
          <w:color w:val="auto"/>
          <w:sz w:val="21"/>
          <w:szCs w:val="21"/>
          <w:highlight w:val="none"/>
          <w:lang w:val="en-US" w:eastAsia="zh-CN"/>
        </w:rPr>
        <w:t>户之</w:t>
      </w:r>
      <w:r>
        <w:rPr>
          <w:rFonts w:hint="eastAsia" w:ascii="仿宋_GB2312" w:hAnsi="仿宋_GB2312" w:eastAsia="仿宋_GB2312" w:cs="仿宋_GB2312"/>
          <w:b/>
          <w:color w:val="auto"/>
          <w:sz w:val="21"/>
          <w:szCs w:val="21"/>
          <w:highlight w:val="none"/>
        </w:rPr>
        <w:t>日起</w:t>
      </w:r>
      <w:r>
        <w:rPr>
          <w:rFonts w:hint="eastAsia" w:ascii="仿宋_GB2312" w:hAnsi="仿宋_GB2312" w:eastAsia="仿宋_GB2312" w:cs="仿宋_GB2312"/>
          <w:b/>
          <w:color w:val="auto"/>
          <w:sz w:val="21"/>
          <w:szCs w:val="21"/>
          <w:highlight w:val="none"/>
          <w:lang w:val="en-US" w:eastAsia="zh-CN"/>
        </w:rPr>
        <w:t>6</w:t>
      </w:r>
      <w:r>
        <w:rPr>
          <w:rFonts w:hint="eastAsia" w:ascii="仿宋_GB2312" w:hAnsi="仿宋_GB2312" w:eastAsia="仿宋_GB2312" w:cs="仿宋_GB2312"/>
          <w:b/>
          <w:color w:val="auto"/>
          <w:sz w:val="21"/>
          <w:szCs w:val="21"/>
          <w:highlight w:val="none"/>
        </w:rPr>
        <w:t>个月内</w:t>
      </w:r>
      <w:r>
        <w:rPr>
          <w:rFonts w:hint="eastAsia" w:ascii="仿宋_GB2312" w:hAnsi="仿宋_GB2312" w:eastAsia="仿宋_GB2312" w:cs="仿宋_GB2312"/>
          <w:b/>
          <w:color w:val="auto"/>
          <w:sz w:val="21"/>
          <w:szCs w:val="21"/>
          <w:highlight w:val="none"/>
          <w:lang w:val="en-US" w:eastAsia="zh-CN"/>
        </w:rPr>
        <w:t>无交易记录</w:t>
      </w:r>
      <w:r>
        <w:rPr>
          <w:rFonts w:hint="eastAsia" w:ascii="仿宋_GB2312" w:hAnsi="仿宋_GB2312" w:eastAsia="仿宋_GB2312" w:cs="仿宋_GB2312"/>
          <w:b/>
          <w:color w:val="auto"/>
          <w:sz w:val="21"/>
          <w:szCs w:val="21"/>
          <w:highlight w:val="none"/>
        </w:rPr>
        <w:t>，乙方有权暂停甲方非柜面业务，待重新核实身份后，方可恢复其非柜面业务。（三）甲方被纳入“严重违法失信企业名单”的，乙方有权对甲方账户中止使用。</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lang w:val="en-US" w:eastAsia="zh-CN"/>
        </w:rPr>
        <w:t>四</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lang w:val="en-US" w:eastAsia="zh-CN"/>
        </w:rPr>
        <w:t>甲方被纳入电信网络诈骗及其关联违法犯罪联合惩戒对象的，乙方有权限制甲方名下账户、数字人民币钱包的非柜面出金功能。</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非柜面渠道转出日限额”是指甲方单一账户在非柜面渠道发起的各类资金转出交易(交易类型包括但不限于电子银行转账限额、ATM取款/转账限额、POS消费限额等)的统一总限额。需要设定限额的具体非柜面交易类型，如有调整，以乙方最新规定为准。“非柜面渠道转出日限额”与电子银行转账限额、ATM 取款/转账限额、POS 消费限额等单一特定自助渠道的交易限额同时有效，以其中最低的限额为准。甲方也可持</w:t>
      </w:r>
      <w:r>
        <w:rPr>
          <w:rFonts w:hint="eastAsia" w:ascii="仿宋_GB2312" w:hAnsi="仿宋_GB2312" w:eastAsia="仿宋_GB2312" w:cs="仿宋_GB2312"/>
          <w:color w:val="auto"/>
          <w:sz w:val="21"/>
          <w:szCs w:val="21"/>
          <w:highlight w:val="none"/>
          <w:lang w:val="en-US" w:eastAsia="zh-CN"/>
        </w:rPr>
        <w:t>开户证明文件</w:t>
      </w:r>
      <w:r>
        <w:rPr>
          <w:rFonts w:hint="eastAsia" w:ascii="仿宋_GB2312" w:hAnsi="仿宋_GB2312" w:eastAsia="仿宋_GB2312" w:cs="仿宋_GB2312"/>
          <w:color w:val="auto"/>
          <w:sz w:val="21"/>
          <w:szCs w:val="21"/>
          <w:highlight w:val="none"/>
        </w:rPr>
        <w:t>、法定代表人</w:t>
      </w:r>
      <w:r>
        <w:rPr>
          <w:rFonts w:hint="eastAsia" w:ascii="仿宋_GB2312" w:hAnsi="仿宋_GB2312" w:eastAsia="仿宋_GB2312" w:cs="仿宋_GB2312"/>
          <w:color w:val="auto"/>
          <w:sz w:val="21"/>
          <w:szCs w:val="21"/>
          <w:highlight w:val="none"/>
          <w:lang w:val="en-US" w:eastAsia="zh-CN"/>
        </w:rPr>
        <w:t>(或单位负责人）</w:t>
      </w:r>
      <w:r>
        <w:rPr>
          <w:rFonts w:hint="eastAsia" w:ascii="仿宋_GB2312" w:hAnsi="仿宋_GB2312" w:eastAsia="仿宋_GB2312" w:cs="仿宋_GB2312"/>
          <w:color w:val="auto"/>
          <w:sz w:val="21"/>
          <w:szCs w:val="21"/>
          <w:highlight w:val="none"/>
        </w:rPr>
        <w:t>身份证件、公章、法定代表人</w:t>
      </w:r>
      <w:r>
        <w:rPr>
          <w:rFonts w:hint="eastAsia" w:ascii="仿宋_GB2312" w:hAnsi="仿宋_GB2312" w:eastAsia="仿宋_GB2312" w:cs="仿宋_GB2312"/>
          <w:color w:val="auto"/>
          <w:sz w:val="21"/>
          <w:szCs w:val="21"/>
          <w:highlight w:val="none"/>
          <w:lang w:val="en-US" w:eastAsia="zh-CN"/>
        </w:rPr>
        <w:t>(或单位负责人）</w:t>
      </w:r>
      <w:r>
        <w:rPr>
          <w:rFonts w:hint="eastAsia" w:ascii="仿宋_GB2312" w:hAnsi="仿宋_GB2312" w:eastAsia="仿宋_GB2312" w:cs="仿宋_GB2312"/>
          <w:color w:val="auto"/>
          <w:sz w:val="21"/>
          <w:szCs w:val="21"/>
          <w:highlight w:val="none"/>
        </w:rPr>
        <w:t>私章、变更单位银行账户信息申请书</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授权办理的</w:t>
      </w:r>
      <w:r>
        <w:rPr>
          <w:rFonts w:hint="eastAsia" w:ascii="仿宋_GB2312" w:hAnsi="仿宋_GB2312" w:eastAsia="仿宋_GB2312" w:cs="仿宋_GB2312"/>
          <w:color w:val="auto"/>
          <w:sz w:val="21"/>
          <w:szCs w:val="21"/>
          <w:highlight w:val="none"/>
        </w:rPr>
        <w:t>还需</w:t>
      </w:r>
      <w:r>
        <w:rPr>
          <w:rFonts w:hint="eastAsia" w:ascii="仿宋_GB2312" w:hAnsi="仿宋_GB2312" w:eastAsia="仿宋_GB2312" w:cs="仿宋_GB2312"/>
          <w:color w:val="auto"/>
          <w:sz w:val="21"/>
          <w:szCs w:val="21"/>
          <w:highlight w:val="none"/>
          <w:lang w:val="en-US" w:eastAsia="zh-CN"/>
        </w:rPr>
        <w:t>提供代理</w:t>
      </w:r>
      <w:r>
        <w:rPr>
          <w:rFonts w:hint="eastAsia" w:ascii="仿宋_GB2312" w:hAnsi="仿宋_GB2312" w:eastAsia="仿宋_GB2312" w:cs="仿宋_GB2312"/>
          <w:color w:val="auto"/>
          <w:sz w:val="21"/>
          <w:szCs w:val="21"/>
          <w:highlight w:val="none"/>
        </w:rPr>
        <w:t>人身份证件</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向乙方申请调整限额（具体资料以银行最新规定为准），乙方工作人员将结合甲方账户风险等级评估结果、所提供辅助证明等材料对申请进行审核和处理。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“暂停非柜面业务”</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限制非柜面出金</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是指暂停</w:t>
      </w:r>
      <w:r>
        <w:rPr>
          <w:rFonts w:hint="eastAsia" w:ascii="仿宋_GB2312" w:hAnsi="仿宋_GB2312" w:eastAsia="仿宋_GB2312" w:cs="仿宋_GB2312"/>
          <w:color w:val="auto"/>
          <w:sz w:val="21"/>
          <w:szCs w:val="21"/>
          <w:highlight w:val="none"/>
          <w:lang w:val="en-US" w:eastAsia="zh-CN"/>
        </w:rPr>
        <w:t>或限制</w:t>
      </w:r>
      <w:r>
        <w:rPr>
          <w:rFonts w:hint="eastAsia" w:ascii="仿宋_GB2312" w:hAnsi="仿宋_GB2312" w:eastAsia="仿宋_GB2312" w:cs="仿宋_GB2312"/>
          <w:color w:val="auto"/>
          <w:sz w:val="21"/>
          <w:szCs w:val="21"/>
          <w:highlight w:val="none"/>
        </w:rPr>
        <w:t>甲方通过乙方网上银行、手机银行等非柜面渠道办理所有资金收付业务。</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color w:val="auto"/>
          <w:sz w:val="21"/>
          <w:szCs w:val="21"/>
          <w:highlight w:val="none"/>
        </w:rPr>
        <w:t>第十九条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color w:val="auto"/>
          <w:sz w:val="21"/>
          <w:szCs w:val="21"/>
          <w:highlight w:val="none"/>
        </w:rPr>
        <w:t>东莞农村商业银行</w:t>
      </w:r>
      <w:r>
        <w:rPr>
          <w:rFonts w:hint="eastAsia" w:ascii="仿宋_GB2312" w:hAnsi="仿宋_GB2312" w:eastAsia="仿宋_GB2312" w:cs="仿宋_GB2312"/>
          <w:b/>
          <w:bCs/>
          <w:color w:val="auto"/>
          <w:sz w:val="21"/>
          <w:szCs w:val="21"/>
          <w:highlight w:val="none"/>
          <w:lang w:val="en-US" w:eastAsia="zh-CN"/>
        </w:rPr>
        <w:t>撤销单位银行结算账户申请书》是甲方向乙方申请注销银行结算账户、账户支付凭证、账户服务协议、以及销户资金处理的业务凭证，填写后可不再重复填写支票、取款凭证等支付凭证；</w:t>
      </w:r>
      <w:r>
        <w:rPr>
          <w:rFonts w:hint="eastAsia" w:ascii="仿宋_GB2312" w:hAnsi="仿宋_GB2312" w:eastAsia="仿宋_GB2312" w:cs="仿宋_GB2312"/>
          <w:b/>
          <w:bCs/>
          <w:color w:val="auto"/>
          <w:sz w:val="21"/>
          <w:szCs w:val="21"/>
          <w:highlight w:val="none"/>
        </w:rPr>
        <w:t>甲方撤销在乙方开立的银行结算账户时</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rPr>
        <w:t>必须与乙方核对银行结算账户存款余额，交回各种重要空白票据及结算凭证，双方核对无误后方可办理销户手续。甲方因自身原因未交回各种重要空白票据及结算凭证的，应当向乙方说明并提供相关证明资料，造成损失的，由甲方自行承担</w:t>
      </w:r>
      <w:r>
        <w:rPr>
          <w:rFonts w:hint="eastAsia" w:ascii="仿宋_GB2312" w:hAnsi="仿宋_GB2312" w:eastAsia="仿宋_GB2312" w:cs="仿宋_GB2312"/>
          <w:b/>
          <w:bCs/>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第二十条</w:t>
      </w:r>
      <w:r>
        <w:rPr>
          <w:rFonts w:hint="eastAsia" w:ascii="仿宋_GB2312" w:hAnsi="仿宋_GB2312" w:eastAsia="仿宋_GB2312" w:cs="仿宋_GB2312"/>
          <w:color w:val="auto"/>
          <w:sz w:val="21"/>
          <w:szCs w:val="21"/>
          <w:highlight w:val="none"/>
        </w:rPr>
        <w:t xml:space="preserve"> 甲方出现以下情况之一应当向乙方提出撤销账户并解除本协议的申请：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甲方不再使用单位银行结算账户；（二）甲方解散、被撤并、宣告破产、关闭、注销、被吊销营业执照；（三）乙方确认甲方账户为匿名账户、假名账户、虚假开户的，包括但不限于：甲方提供伪造、变造开户证明文件等；甲方假冒他人身份或虚构代理关系，或留存虚假地址、电话等信息。</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乙方发现甲方存在以上情形且未提出撤销的，应通知甲方及时办理撤销手续，甲方应于5个工作日内向乙方提出撤销银行结算账户的申请。甲方自乙方通知之日起30日内仍未办理撤销手续，视同甲方自愿销户。</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第二十一条</w:t>
      </w:r>
      <w:r>
        <w:rPr>
          <w:rFonts w:hint="eastAsia" w:ascii="仿宋_GB2312" w:hAnsi="仿宋_GB2312" w:eastAsia="仿宋_GB2312" w:cs="仿宋_GB2312"/>
          <w:color w:val="auto"/>
          <w:sz w:val="21"/>
          <w:szCs w:val="21"/>
          <w:highlight w:val="none"/>
        </w:rPr>
        <w:t xml:space="preserve"> 乙方对甲方银行结算账户采取控制账户交易措施的，应当在</w:t>
      </w:r>
      <w:r>
        <w:rPr>
          <w:rFonts w:hint="eastAsia" w:ascii="仿宋_GB2312" w:hAnsi="仿宋_GB2312" w:eastAsia="仿宋_GB2312" w:cs="仿宋_GB2312"/>
          <w:color w:val="auto"/>
          <w:sz w:val="21"/>
          <w:szCs w:val="21"/>
          <w:highlight w:val="none"/>
          <w:lang w:val="en-US" w:eastAsia="zh-CN"/>
        </w:rPr>
        <w:t>采取措施前或</w:t>
      </w:r>
      <w:r>
        <w:rPr>
          <w:rFonts w:hint="eastAsia" w:ascii="仿宋_GB2312" w:hAnsi="仿宋_GB2312" w:eastAsia="仿宋_GB2312" w:cs="仿宋_GB2312"/>
          <w:color w:val="auto"/>
          <w:sz w:val="21"/>
          <w:szCs w:val="21"/>
          <w:highlight w:val="none"/>
        </w:rPr>
        <w:t>采取措施之日起2个工作日内通知甲方。法律、行政法规另有规定的，从其规定。</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第二十二条</w:t>
      </w:r>
      <w:r>
        <w:rPr>
          <w:rFonts w:hint="eastAsia" w:ascii="仿宋_GB2312" w:hAnsi="仿宋_GB2312" w:eastAsia="仿宋_GB2312" w:cs="仿宋_GB2312"/>
          <w:color w:val="auto"/>
          <w:sz w:val="21"/>
          <w:szCs w:val="21"/>
          <w:highlight w:val="none"/>
        </w:rPr>
        <w:t xml:space="preserve"> 乙方对甲方的通知可采取短信、电话、信函、公告等方式，通知的形式和完成通知时点约定如下：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通过短信通知的，乙方按照甲方预留的联系电话发送短信，以短信成功发送视同完成通知；（二）通过电话通知的，以乙方接通电话视同完成通知；（三）通过信函（包括快递、邮寄等）通知的，乙方按照甲方预留的通讯地址寄出通知，于信函送达视同完成通知；（四）通过手机银行、网上银行提示的，以提示视同完成通知；（五）以公告形式发布的，于公告发布视同完成通知。因甲方预留的通讯地址、联系电话失效而无法通知的，由甲方承担无法通知的责任。</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第二十三条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color w:val="auto"/>
          <w:sz w:val="21"/>
          <w:szCs w:val="21"/>
          <w:highlight w:val="none"/>
        </w:rPr>
        <w:t>本协议内容如发生变更，乙方以公告形式告知甲方，公告期内，甲方可以选择继续使用本账户或销户，继续使用本账户的，视同甲方同意有关变更，公告期满即为生效。</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第二十四条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color w:val="auto"/>
          <w:sz w:val="21"/>
          <w:szCs w:val="21"/>
          <w:highlight w:val="none"/>
        </w:rPr>
        <w:t>《东莞农村商业银行开立单位银行结算账户申请书》是本协议不可分割的组成部分。</w:t>
      </w:r>
      <w:r>
        <w:rPr>
          <w:rFonts w:hint="eastAsia" w:ascii="仿宋_GB2312" w:hAnsi="仿宋_GB2312" w:eastAsia="仿宋_GB2312" w:cs="仿宋_GB2312"/>
          <w:color w:val="auto"/>
          <w:sz w:val="21"/>
          <w:szCs w:val="21"/>
          <w:highlight w:val="none"/>
        </w:rPr>
        <w:t>本协议未尽事宜，按《人民币银行结算账户管理办法》及其操作细则、《企业银行结算账户管理办法》、《支付结算办法》、《现金管理暂行条例》及相关法律法规执行。</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第二十五条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color w:val="auto"/>
          <w:sz w:val="21"/>
          <w:szCs w:val="21"/>
          <w:highlight w:val="none"/>
        </w:rPr>
        <w:t>本协议自经双方在《东莞农村商业银行开立单位银行结算账户申请书》签章（字）后生效</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b/>
          <w:bCs/>
          <w:color w:val="auto"/>
          <w:sz w:val="21"/>
          <w:szCs w:val="21"/>
          <w:highlight w:val="none"/>
        </w:rPr>
        <w:t>于甲方在乙方开立的银行结算账户存续期间有效。协议存续期间，甲乙双方无正当、合法理由或未向对方作出说明，擅自终止协议，给一方造成损失的，违约方承担一切后果。如甲方撤销在乙方开立的银行结算账户，自正式销户之日起，本协议自动终止，双方的权利义务关系解除。</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第二十六条</w:t>
      </w:r>
      <w:r>
        <w:rPr>
          <w:rFonts w:hint="eastAsia" w:ascii="仿宋_GB2312" w:hAnsi="仿宋_GB2312" w:eastAsia="仿宋_GB2312" w:cs="仿宋_GB2312"/>
          <w:color w:val="auto"/>
          <w:sz w:val="21"/>
          <w:szCs w:val="21"/>
          <w:highlight w:val="none"/>
        </w:rPr>
        <w:t xml:space="preserve"> 本协议履行中发生争议，可先由双方协商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包括调解</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解决；</w:t>
      </w:r>
      <w:r>
        <w:rPr>
          <w:rFonts w:hint="eastAsia" w:ascii="仿宋_GB2312" w:hAnsi="仿宋_GB2312" w:eastAsia="仿宋_GB2312" w:cs="仿宋_GB2312"/>
          <w:b/>
          <w:bCs/>
          <w:color w:val="auto"/>
          <w:sz w:val="21"/>
          <w:szCs w:val="21"/>
          <w:highlight w:val="none"/>
          <w:shd w:val="clear" w:color="auto" w:fill="FFFFFF"/>
        </w:rPr>
        <w:t>协商不成的，任何一方均可向本协议项下乙方经办行所在地人民法院提起诉讼</w:t>
      </w:r>
      <w:r>
        <w:rPr>
          <w:rFonts w:hint="eastAsia" w:ascii="仿宋_GB2312" w:hAnsi="仿宋_GB2312" w:eastAsia="仿宋_GB2312" w:cs="仿宋_GB2312"/>
          <w:b/>
          <w:bCs/>
          <w:color w:val="auto"/>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第二十七条</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b/>
          <w:bCs/>
          <w:color w:val="auto"/>
          <w:sz w:val="21"/>
          <w:szCs w:val="21"/>
          <w:highlight w:val="none"/>
          <w:shd w:val="clear" w:color="auto" w:fill="FFFFFF"/>
          <w:lang w:val="en-US" w:eastAsia="zh-CN"/>
        </w:rPr>
        <w:t>如甲方对乙方所提供的产品或服务有任何意见或建议，可致电乙方客服投诉电话（0769-961122转9）、登录官方网站（https://www.drcbank.com）或通过乙方各营业网点咨询和反映，乙方将及时受理并给予答复</w:t>
      </w:r>
      <w:r>
        <w:rPr>
          <w:rFonts w:hint="eastAsia" w:ascii="仿宋_GB2312" w:hAnsi="仿宋_GB2312" w:eastAsia="仿宋_GB2312" w:cs="仿宋_GB2312"/>
          <w:b/>
          <w:bCs/>
          <w:color w:val="auto"/>
          <w:sz w:val="21"/>
          <w:szCs w:val="21"/>
          <w:highlight w:val="none"/>
          <w:shd w:val="clear" w:color="auto" w:fill="FFFFFF"/>
        </w:rPr>
        <w:t>。</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第二十八条</w:t>
      </w:r>
      <w:r>
        <w:rPr>
          <w:rFonts w:hint="eastAsia" w:ascii="仿宋_GB2312" w:hAnsi="仿宋_GB2312" w:eastAsia="仿宋_GB2312" w:cs="仿宋_GB2312"/>
          <w:color w:val="auto"/>
          <w:sz w:val="21"/>
          <w:szCs w:val="21"/>
          <w:highlight w:val="none"/>
        </w:rPr>
        <w:t xml:space="preserve"> 本协议壹式两份，甲</w:t>
      </w:r>
      <w:r>
        <w:rPr>
          <w:rFonts w:hint="eastAsia" w:ascii="仿宋_GB2312" w:hAnsi="仿宋_GB2312" w:eastAsia="仿宋_GB2312" w:cs="仿宋_GB2312"/>
          <w:color w:val="auto"/>
          <w:kern w:val="0"/>
          <w:sz w:val="21"/>
          <w:szCs w:val="21"/>
          <w:highlight w:val="none"/>
        </w:rPr>
        <w:t>乙双</w:t>
      </w:r>
      <w:r>
        <w:rPr>
          <w:rFonts w:hint="eastAsia" w:ascii="仿宋_GB2312" w:hAnsi="仿宋_GB2312" w:eastAsia="仿宋_GB2312" w:cs="仿宋_GB2312"/>
          <w:color w:val="auto"/>
          <w:sz w:val="21"/>
          <w:szCs w:val="21"/>
          <w:highlight w:val="none"/>
        </w:rPr>
        <w:t xml:space="preserve">方各执壹份。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auto"/>
          <w:sz w:val="21"/>
          <w:szCs w:val="21"/>
          <w:highlight w:val="none"/>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合法开立和使用银行账户承诺书</w:t>
      </w:r>
    </w:p>
    <w:p>
      <w:pPr>
        <w:keepNext w:val="0"/>
        <w:keepLines w:val="0"/>
        <w:pageBreakBefore w:val="0"/>
        <w:kinsoku/>
        <w:wordWrap/>
        <w:overflowPunct/>
        <w:topLinePunct w:val="0"/>
        <w:autoSpaceDE/>
        <w:autoSpaceDN/>
        <w:bidi w:val="0"/>
        <w:adjustRightInd/>
        <w:snapToGrid/>
        <w:spacing w:line="240" w:lineRule="auto"/>
        <w:ind w:firstLine="422" w:firstLineChars="200"/>
        <w:jc w:val="left"/>
        <w:textAlignment w:val="auto"/>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银行账户（含银行卡）仅限本单位使用，严禁出租、出借、出售、购买银行账户。对经设区的市级以上公安机关认定的出租、出借、出售、购买银行账户的个人（单位）及其他组织者</w:t>
      </w:r>
      <w:r>
        <w:rPr>
          <w:rFonts w:hint="eastAsia" w:ascii="仿宋_GB2312" w:hAnsi="仿宋_GB2312" w:eastAsia="仿宋_GB2312" w:cs="仿宋_GB2312"/>
          <w:b/>
          <w:bCs/>
          <w:color w:val="auto"/>
          <w:kern w:val="0"/>
          <w:sz w:val="21"/>
          <w:szCs w:val="21"/>
          <w:highlight w:val="none"/>
          <w:lang w:val="en-US" w:eastAsia="zh-CN"/>
        </w:rPr>
        <w:t>以及因实施电信诈骗犯罪等关联犯罪受过刑事处罚的人员，自2024年12月1日起，按照《电信网络诈骗及其关联违法犯罪联合惩戒办法》要求，限制其名下银行账户、数字人民币钱包的非柜面出金以及暂停新开立实名数字人民币钱包等规定的相关功能。</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本单位充分了解并清楚知晓出租、出借、出售、购买账户的相关法律责任和惩戒措施，承诺依法依规开立和使用本单位账户。</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仿宋_GB2312" w:hAnsi="仿宋_GB2312" w:eastAsia="仿宋_GB2312" w:cs="仿宋_GB2312"/>
          <w:b/>
          <w:bCs/>
          <w:color w:val="auto"/>
          <w:kern w:val="0"/>
          <w:sz w:val="21"/>
          <w:szCs w:val="21"/>
          <w:highlight w:val="none"/>
        </w:rPr>
      </w:pPr>
    </w:p>
    <w:p>
      <w:pPr>
        <w:pStyle w:val="8"/>
        <w:keepNext w:val="0"/>
        <w:keepLines w:val="0"/>
        <w:pageBreakBefore w:val="0"/>
        <w:widowControl w:val="0"/>
        <w:tabs>
          <w:tab w:val="left" w:pos="543"/>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kern w:val="2"/>
          <w:sz w:val="21"/>
          <w:szCs w:val="21"/>
          <w:highlight w:val="none"/>
          <w:lang w:val="en-US" w:eastAsia="zh-CN" w:bidi="ar-SA"/>
        </w:rPr>
      </w:pPr>
      <w:r>
        <w:rPr>
          <w:rFonts w:hint="eastAsia" w:ascii="仿宋_GB2312" w:hAnsi="仿宋_GB2312" w:eastAsia="仿宋_GB2312" w:cs="仿宋_GB2312"/>
          <w:b/>
          <w:color w:val="auto"/>
          <w:kern w:val="2"/>
          <w:sz w:val="21"/>
          <w:szCs w:val="21"/>
          <w:highlight w:val="none"/>
          <w:lang w:val="en-US" w:eastAsia="zh-CN" w:bidi="ar-SA"/>
        </w:rPr>
        <w:t>个人信息保护</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2" w:firstLineChars="200"/>
        <w:jc w:val="both"/>
        <w:textAlignment w:val="auto"/>
        <w:rPr>
          <w:rStyle w:val="7"/>
          <w:rFonts w:hint="eastAsia" w:ascii="仿宋_GB2312" w:hAnsi="仿宋_GB2312" w:eastAsia="仿宋_GB2312" w:cs="仿宋_GB2312"/>
          <w:color w:val="auto"/>
          <w:sz w:val="21"/>
          <w:szCs w:val="21"/>
          <w:highlight w:val="none"/>
          <w:shd w:val="clear" w:color="auto" w:fill="FFFFFF"/>
        </w:rPr>
      </w:pPr>
      <w:r>
        <w:rPr>
          <w:rFonts w:hint="eastAsia" w:ascii="仿宋_GB2312" w:hAnsi="仿宋_GB2312" w:eastAsia="仿宋_GB2312" w:cs="仿宋_GB2312"/>
          <w:b/>
          <w:bCs/>
          <w:color w:val="auto"/>
          <w:sz w:val="21"/>
          <w:szCs w:val="21"/>
          <w:highlight w:val="none"/>
          <w:shd w:val="clear" w:color="auto" w:fill="FFFFFF"/>
          <w:lang w:val="en-US" w:eastAsia="zh-CN"/>
        </w:rPr>
        <w:t>一、为履行反洗钱等法定义务、向甲方开展身份认证核验、办理开户、变更、销户、存取款、消费等账户服务相关业务的目的，乙方在依法合规前提下，将通过收集、存储、使用、加工、传输、提供、删除的方式处理甲方的法定代表人、单位负责人、代理人的个人信息（以下统称为“本人”）。个人信息包括</w:t>
      </w:r>
      <w:r>
        <w:rPr>
          <w:rFonts w:hint="eastAsia" w:ascii="仿宋_GB2312" w:hAnsi="仿宋_GB2312" w:eastAsia="仿宋_GB2312" w:cs="仿宋_GB2312"/>
          <w:b/>
          <w:color w:val="auto"/>
          <w:sz w:val="21"/>
          <w:szCs w:val="21"/>
          <w:highlight w:val="none"/>
        </w:rPr>
        <w:t>姓名、性别、国籍、职业、居住地</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lang w:val="en-US" w:eastAsia="zh-CN"/>
        </w:rPr>
        <w:t>工作单位、联系电话</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1"/>
          <w:highlight w:val="none"/>
          <w:lang w:val="en-US" w:eastAsia="zh-CN"/>
        </w:rPr>
        <w:t>身份</w:t>
      </w:r>
      <w:r>
        <w:rPr>
          <w:rFonts w:hint="eastAsia" w:ascii="仿宋_GB2312" w:hAnsi="仿宋_GB2312" w:eastAsia="仿宋_GB2312" w:cs="仿宋_GB2312"/>
          <w:b/>
          <w:color w:val="auto"/>
          <w:sz w:val="21"/>
          <w:szCs w:val="21"/>
          <w:highlight w:val="none"/>
        </w:rPr>
        <w:t>证件号码、身份证件类型、证件有效期、出生日期、</w:t>
      </w:r>
      <w:r>
        <w:rPr>
          <w:rFonts w:hint="eastAsia" w:ascii="仿宋_GB2312" w:hAnsi="仿宋_GB2312" w:eastAsia="仿宋_GB2312" w:cs="仿宋_GB2312"/>
          <w:b/>
          <w:color w:val="auto"/>
          <w:sz w:val="21"/>
          <w:szCs w:val="21"/>
          <w:highlight w:val="none"/>
          <w:lang w:val="en-US" w:eastAsia="zh-CN"/>
        </w:rPr>
        <w:t>发证机关、</w:t>
      </w:r>
      <w:r>
        <w:rPr>
          <w:rFonts w:hint="eastAsia" w:ascii="仿宋_GB2312" w:hAnsi="仿宋_GB2312" w:eastAsia="仿宋_GB2312" w:cs="仿宋_GB2312"/>
          <w:b/>
          <w:color w:val="auto"/>
          <w:sz w:val="21"/>
          <w:szCs w:val="21"/>
          <w:highlight w:val="none"/>
        </w:rPr>
        <w:t>手机号码</w:t>
      </w:r>
      <w:r>
        <w:rPr>
          <w:rFonts w:hint="eastAsia" w:ascii="仿宋_GB2312" w:hAnsi="仿宋_GB2312" w:eastAsia="仿宋_GB2312" w:cs="仿宋_GB2312"/>
          <w:b/>
          <w:color w:val="auto"/>
          <w:sz w:val="21"/>
          <w:szCs w:val="21"/>
          <w:highlight w:val="none"/>
          <w:lang w:val="en-US" w:eastAsia="zh-CN"/>
        </w:rPr>
        <w:t>、</w:t>
      </w:r>
      <w:r>
        <w:rPr>
          <w:rFonts w:hint="eastAsia" w:ascii="仿宋_GB2312" w:hAnsi="仿宋_GB2312" w:eastAsia="仿宋_GB2312" w:cs="仿宋_GB2312"/>
          <w:b/>
          <w:color w:val="auto"/>
          <w:sz w:val="21"/>
          <w:szCs w:val="21"/>
          <w:highlight w:val="none"/>
        </w:rPr>
        <w:t>预留银行手机号码实名</w:t>
      </w:r>
      <w:r>
        <w:rPr>
          <w:rFonts w:hint="eastAsia" w:ascii="仿宋_GB2312" w:hAnsi="仿宋_GB2312" w:eastAsia="仿宋_GB2312" w:cs="仿宋_GB2312"/>
          <w:b/>
          <w:color w:val="auto"/>
          <w:sz w:val="21"/>
          <w:szCs w:val="21"/>
          <w:highlight w:val="none"/>
          <w:lang w:val="en-US" w:eastAsia="zh-CN"/>
        </w:rPr>
        <w:t>，以及按照法律法规或监管要求进行反洗钱、防诈审核时需要的辅助身份证明材料</w:t>
      </w:r>
      <w:r>
        <w:rPr>
          <w:rFonts w:hint="eastAsia" w:ascii="仿宋_GB2312" w:hAnsi="仿宋_GB2312" w:eastAsia="仿宋_GB2312" w:cs="仿宋_GB2312"/>
          <w:b/>
          <w:color w:val="auto"/>
          <w:sz w:val="21"/>
          <w:szCs w:val="21"/>
          <w:highlight w:val="none"/>
        </w:rPr>
        <w:t>。本人</w:t>
      </w:r>
      <w:r>
        <w:rPr>
          <w:rFonts w:hint="eastAsia" w:ascii="仿宋_GB2312" w:hAnsi="仿宋_GB2312" w:eastAsia="仿宋_GB2312" w:cs="仿宋_GB2312"/>
          <w:b/>
          <w:color w:val="auto"/>
          <w:sz w:val="21"/>
          <w:szCs w:val="21"/>
          <w:highlight w:val="none"/>
          <w:lang w:val="en-US" w:eastAsia="zh-CN"/>
        </w:rPr>
        <w:t>知悉上述信息为乙方办理本业务所必须的个人信息，</w:t>
      </w:r>
      <w:r>
        <w:rPr>
          <w:rFonts w:hint="eastAsia" w:ascii="仿宋_GB2312" w:hAnsi="仿宋_GB2312" w:eastAsia="仿宋_GB2312" w:cs="仿宋_GB2312"/>
          <w:b/>
          <w:color w:val="auto"/>
          <w:sz w:val="21"/>
          <w:szCs w:val="21"/>
          <w:highlight w:val="none"/>
        </w:rPr>
        <w:t>同意并授权</w:t>
      </w:r>
      <w:r>
        <w:rPr>
          <w:rFonts w:hint="eastAsia" w:ascii="仿宋_GB2312" w:hAnsi="仿宋_GB2312" w:eastAsia="仿宋_GB2312" w:cs="仿宋_GB2312"/>
          <w:b/>
          <w:color w:val="auto"/>
          <w:sz w:val="21"/>
          <w:szCs w:val="21"/>
          <w:highlight w:val="none"/>
          <w:lang w:val="en-US" w:eastAsia="zh-CN"/>
        </w:rPr>
        <w:t>乙方</w:t>
      </w:r>
      <w:r>
        <w:rPr>
          <w:rFonts w:hint="eastAsia" w:ascii="仿宋_GB2312" w:hAnsi="仿宋_GB2312" w:eastAsia="仿宋_GB2312" w:cs="仿宋_GB2312"/>
          <w:b/>
          <w:color w:val="auto"/>
          <w:sz w:val="21"/>
          <w:szCs w:val="21"/>
          <w:highlight w:val="none"/>
        </w:rPr>
        <w:t>可将上述</w:t>
      </w:r>
      <w:r>
        <w:rPr>
          <w:rFonts w:hint="eastAsia" w:ascii="仿宋_GB2312" w:hAnsi="仿宋_GB2312" w:eastAsia="仿宋_GB2312" w:cs="仿宋_GB2312"/>
          <w:b/>
          <w:color w:val="auto"/>
          <w:sz w:val="21"/>
          <w:szCs w:val="21"/>
          <w:highlight w:val="none"/>
          <w:lang w:val="en-US" w:eastAsia="zh-CN"/>
        </w:rPr>
        <w:t>个人</w:t>
      </w:r>
      <w:r>
        <w:rPr>
          <w:rFonts w:hint="eastAsia" w:ascii="仿宋_GB2312" w:hAnsi="仿宋_GB2312" w:eastAsia="仿宋_GB2312" w:cs="仿宋_GB2312"/>
          <w:b/>
          <w:color w:val="auto"/>
          <w:sz w:val="21"/>
          <w:szCs w:val="21"/>
          <w:highlight w:val="none"/>
        </w:rPr>
        <w:t>信息用于为</w:t>
      </w:r>
      <w:r>
        <w:rPr>
          <w:rFonts w:hint="eastAsia" w:ascii="仿宋_GB2312" w:hAnsi="仿宋_GB2312" w:eastAsia="仿宋_GB2312" w:cs="仿宋_GB2312"/>
          <w:b/>
          <w:color w:val="auto"/>
          <w:sz w:val="21"/>
          <w:szCs w:val="21"/>
          <w:highlight w:val="none"/>
          <w:lang w:val="en-US" w:eastAsia="zh-CN"/>
        </w:rPr>
        <w:t>甲方</w:t>
      </w:r>
      <w:r>
        <w:rPr>
          <w:rFonts w:hint="eastAsia" w:ascii="仿宋_GB2312" w:hAnsi="仿宋_GB2312" w:eastAsia="仿宋_GB2312" w:cs="仿宋_GB2312"/>
          <w:b/>
          <w:color w:val="auto"/>
          <w:sz w:val="21"/>
          <w:szCs w:val="21"/>
          <w:highlight w:val="none"/>
        </w:rPr>
        <w:t>开立</w:t>
      </w:r>
      <w:r>
        <w:rPr>
          <w:rFonts w:hint="eastAsia" w:ascii="仿宋_GB2312" w:hAnsi="仿宋_GB2312" w:eastAsia="仿宋_GB2312" w:cs="仿宋_GB2312"/>
          <w:b/>
          <w:color w:val="auto"/>
          <w:sz w:val="21"/>
          <w:szCs w:val="21"/>
          <w:highlight w:val="none"/>
          <w:lang w:val="en-US" w:eastAsia="zh-CN"/>
        </w:rPr>
        <w:t>单位</w:t>
      </w:r>
      <w:r>
        <w:rPr>
          <w:rFonts w:hint="eastAsia" w:ascii="仿宋_GB2312" w:hAnsi="仿宋_GB2312" w:eastAsia="仿宋_GB2312" w:cs="仿宋_GB2312"/>
          <w:b/>
          <w:color w:val="auto"/>
          <w:sz w:val="21"/>
          <w:szCs w:val="21"/>
          <w:highlight w:val="none"/>
        </w:rPr>
        <w:t>存款账户、监管核查</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rPr>
        <w:t>交易信息记录</w:t>
      </w:r>
      <w:r>
        <w:rPr>
          <w:rFonts w:hint="eastAsia" w:ascii="仿宋_GB2312" w:hAnsi="仿宋_GB2312" w:eastAsia="仿宋_GB2312" w:cs="仿宋_GB2312"/>
          <w:b/>
          <w:color w:val="auto"/>
          <w:sz w:val="21"/>
          <w:szCs w:val="21"/>
          <w:highlight w:val="none"/>
          <w:lang w:val="en-US" w:eastAsia="zh-CN"/>
        </w:rPr>
        <w:t>等</w:t>
      </w:r>
      <w:r>
        <w:rPr>
          <w:rFonts w:hint="eastAsia" w:ascii="仿宋_GB2312" w:hAnsi="仿宋_GB2312" w:eastAsia="仿宋_GB2312" w:cs="仿宋_GB2312"/>
          <w:b/>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Style w:val="7"/>
          <w:rFonts w:hint="eastAsia" w:ascii="仿宋_GB2312" w:hAnsi="仿宋_GB2312" w:eastAsia="仿宋_GB2312" w:cs="仿宋_GB2312"/>
          <w:color w:val="auto"/>
          <w:sz w:val="21"/>
          <w:szCs w:val="21"/>
          <w:highlight w:val="none"/>
          <w:shd w:val="clear" w:color="auto" w:fill="FFFFFF"/>
        </w:rPr>
      </w:pPr>
      <w:r>
        <w:rPr>
          <w:rFonts w:hint="eastAsia" w:ascii="仿宋_GB2312" w:hAnsi="仿宋_GB2312" w:eastAsia="仿宋_GB2312" w:cs="仿宋_GB2312"/>
          <w:b/>
          <w:color w:val="auto"/>
          <w:sz w:val="21"/>
          <w:szCs w:val="21"/>
          <w:highlight w:val="none"/>
          <w:lang w:val="en-US" w:eastAsia="zh-CN"/>
        </w:rPr>
        <w:t>二、</w:t>
      </w:r>
      <w:r>
        <w:rPr>
          <w:rFonts w:hint="eastAsia" w:ascii="仿宋_GB2312" w:hAnsi="仿宋_GB2312" w:eastAsia="仿宋_GB2312" w:cs="仿宋_GB2312"/>
          <w:b/>
          <w:color w:val="auto"/>
          <w:sz w:val="21"/>
          <w:szCs w:val="21"/>
          <w:highlight w:val="none"/>
        </w:rPr>
        <w:t>本</w:t>
      </w:r>
      <w:r>
        <w:rPr>
          <w:rFonts w:hint="eastAsia" w:ascii="仿宋_GB2312" w:hAnsi="仿宋_GB2312" w:eastAsia="仿宋_GB2312" w:cs="仿宋_GB2312"/>
          <w:b/>
          <w:color w:val="auto"/>
          <w:sz w:val="21"/>
          <w:szCs w:val="21"/>
          <w:highlight w:val="none"/>
          <w:lang w:val="en-US" w:eastAsia="zh-CN"/>
        </w:rPr>
        <w:t>人</w:t>
      </w:r>
      <w:r>
        <w:rPr>
          <w:rFonts w:hint="eastAsia" w:ascii="仿宋_GB2312" w:hAnsi="仿宋_GB2312" w:eastAsia="仿宋_GB2312" w:cs="仿宋_GB2312"/>
          <w:b/>
          <w:color w:val="auto"/>
          <w:sz w:val="21"/>
          <w:szCs w:val="21"/>
          <w:highlight w:val="none"/>
        </w:rPr>
        <w:t>同意</w:t>
      </w:r>
      <w:r>
        <w:rPr>
          <w:rFonts w:hint="eastAsia" w:ascii="仿宋_GB2312" w:hAnsi="仿宋_GB2312" w:eastAsia="仿宋_GB2312" w:cs="仿宋_GB2312"/>
          <w:b/>
          <w:color w:val="auto"/>
          <w:sz w:val="21"/>
          <w:szCs w:val="21"/>
          <w:highlight w:val="none"/>
          <w:lang w:val="en-US" w:eastAsia="zh-CN"/>
        </w:rPr>
        <w:t>乙方可将上述本人的个人信息用于营销、改进用户体验、市场调查。本人知悉，</w:t>
      </w:r>
      <w:r>
        <w:rPr>
          <w:rFonts w:hint="eastAsia" w:ascii="仿宋_GB2312" w:hAnsi="仿宋_GB2312" w:eastAsia="仿宋_GB2312" w:cs="仿宋_GB2312"/>
          <w:b/>
          <w:color w:val="auto"/>
          <w:sz w:val="21"/>
          <w:szCs w:val="21"/>
          <w:highlight w:val="none"/>
          <w:shd w:val="clear" w:color="auto" w:fill="FFFFFF"/>
          <w:lang w:val="en-US" w:eastAsia="zh-CN"/>
        </w:rPr>
        <w:t>如不同意，可通过乙方24小时客服电话（0769）961122或指定的其他方式进行调整。</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422" w:firstLineChars="200"/>
        <w:jc w:val="both"/>
        <w:textAlignment w:val="auto"/>
        <w:rPr>
          <w:rFonts w:hint="eastAsia" w:ascii="仿宋_GB2312" w:hAnsi="仿宋_GB2312" w:eastAsia="仿宋_GB2312" w:cs="仿宋_GB2312"/>
          <w:b/>
          <w:color w:val="auto"/>
          <w:sz w:val="21"/>
          <w:szCs w:val="21"/>
          <w:highlight w:val="none"/>
          <w:shd w:val="clear" w:color="auto" w:fill="FFFFFF"/>
          <w:lang w:val="en-US" w:eastAsia="zh-CN"/>
        </w:rPr>
      </w:pPr>
      <w:r>
        <w:rPr>
          <w:rFonts w:hint="eastAsia" w:ascii="仿宋_GB2312" w:hAnsi="仿宋_GB2312" w:eastAsia="仿宋_GB2312" w:cs="仿宋_GB2312"/>
          <w:b/>
          <w:color w:val="auto"/>
          <w:sz w:val="21"/>
          <w:szCs w:val="21"/>
          <w:highlight w:val="none"/>
          <w:shd w:val="clear" w:color="auto" w:fill="FFFFFF"/>
          <w:lang w:val="en-US" w:eastAsia="zh-CN"/>
        </w:rPr>
        <w:t>三、本</w:t>
      </w:r>
      <w:r>
        <w:rPr>
          <w:rFonts w:hint="eastAsia" w:ascii="仿宋_GB2312" w:hAnsi="仿宋_GB2312" w:eastAsia="仿宋_GB2312" w:cs="仿宋_GB2312"/>
          <w:b/>
          <w:bCs/>
          <w:color w:val="auto"/>
          <w:sz w:val="21"/>
          <w:szCs w:val="21"/>
          <w:highlight w:val="none"/>
          <w:shd w:val="clear" w:color="auto" w:fill="FFFFFF"/>
          <w:lang w:val="en-US" w:eastAsia="zh-CN"/>
        </w:rPr>
        <w:t>人</w:t>
      </w:r>
      <w:r>
        <w:rPr>
          <w:rFonts w:hint="eastAsia" w:ascii="仿宋_GB2312" w:hAnsi="仿宋_GB2312" w:eastAsia="仿宋_GB2312" w:cs="仿宋_GB2312"/>
          <w:b/>
          <w:color w:val="auto"/>
          <w:sz w:val="21"/>
          <w:szCs w:val="21"/>
          <w:highlight w:val="none"/>
          <w:shd w:val="clear" w:color="auto" w:fill="FFFFFF"/>
          <w:lang w:val="en-US" w:eastAsia="zh-CN"/>
        </w:rPr>
        <w:t>知悉，为提供账户服务及满足国家监管要求，乙方将在符合法律规定的前提下，向有权机关（如反洗钱相关机构、行政机关、司法机关或其他有关单位）提供相关个人信息，包括姓名、性别、国籍、职业、居住地、工作单位、联系电话、手机号码、身份证件信息等。</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2" w:firstLineChars="200"/>
        <w:jc w:val="both"/>
        <w:textAlignment w:val="auto"/>
        <w:rPr>
          <w:rFonts w:hint="eastAsia" w:ascii="仿宋_GB2312" w:hAnsi="仿宋_GB2312" w:eastAsia="仿宋_GB2312" w:cs="仿宋_GB2312"/>
          <w:b/>
          <w:bCs/>
          <w:strike/>
          <w:dstrike w:val="0"/>
          <w:color w:val="auto"/>
          <w:spacing w:val="-4"/>
          <w:position w:val="11"/>
          <w:sz w:val="21"/>
          <w:szCs w:val="21"/>
          <w:highlight w:val="none"/>
          <w:lang w:eastAsia="zh-CN"/>
        </w:rPr>
      </w:pPr>
      <w:r>
        <w:rPr>
          <w:rFonts w:hint="eastAsia" w:ascii="仿宋_GB2312" w:hAnsi="仿宋_GB2312" w:eastAsia="仿宋_GB2312" w:cs="仿宋_GB2312"/>
          <w:b/>
          <w:bCs/>
          <w:color w:val="auto"/>
          <w:sz w:val="21"/>
          <w:szCs w:val="21"/>
          <w:highlight w:val="none"/>
          <w:shd w:val="clear" w:color="auto" w:fill="FFFFFF"/>
          <w:lang w:val="en-US" w:eastAsia="zh-CN"/>
        </w:rPr>
        <w:t>四、本人</w:t>
      </w:r>
      <w:r>
        <w:rPr>
          <w:rFonts w:hint="eastAsia" w:ascii="仿宋_GB2312" w:hAnsi="仿宋_GB2312" w:eastAsia="仿宋_GB2312" w:cs="仿宋_GB2312"/>
          <w:b/>
          <w:color w:val="auto"/>
          <w:sz w:val="21"/>
          <w:szCs w:val="21"/>
          <w:highlight w:val="none"/>
          <w:shd w:val="clear" w:color="auto" w:fill="FFFFFF"/>
          <w:lang w:val="en-US" w:eastAsia="zh-CN"/>
        </w:rPr>
        <w:t>知悉，身份证件信息为敏感个人信息，一旦泄露或者非法使用，容易导致甲方的财产安全受到危害。其他个人信息一旦泄露或非法使用，可能会损害甲方隐私。</w:t>
      </w:r>
      <w:r>
        <w:rPr>
          <w:rFonts w:hint="eastAsia" w:ascii="仿宋_GB2312" w:hAnsi="仿宋_GB2312" w:eastAsia="仿宋_GB2312" w:cs="仿宋_GB2312"/>
          <w:b/>
          <w:bCs/>
          <w:color w:val="auto"/>
          <w:sz w:val="21"/>
          <w:szCs w:val="21"/>
          <w:highlight w:val="none"/>
          <w:shd w:val="clear" w:color="auto" w:fill="FFFFFF"/>
        </w:rPr>
        <w:t>乙方承诺将严格遵守法律法规、监管部门规定,在收集和使用甲方信息时,遵循合法、正当、必要的原则,并在甲方授权的范围、内容和期限内</w:t>
      </w:r>
      <w:r>
        <w:rPr>
          <w:rFonts w:hint="eastAsia" w:ascii="仿宋_GB2312" w:hAnsi="仿宋_GB2312" w:eastAsia="仿宋_GB2312" w:cs="仿宋_GB2312"/>
          <w:b/>
          <w:bCs/>
          <w:color w:val="auto"/>
          <w:sz w:val="21"/>
          <w:szCs w:val="21"/>
          <w:highlight w:val="none"/>
          <w:shd w:val="clear" w:color="auto" w:fill="FFFFFF"/>
          <w:lang w:val="en-US" w:eastAsia="zh-CN"/>
        </w:rPr>
        <w:t>收集、存储、使用、加工、传输、提供、删除</w:t>
      </w:r>
      <w:r>
        <w:rPr>
          <w:rFonts w:hint="eastAsia" w:ascii="仿宋_GB2312" w:hAnsi="仿宋_GB2312" w:eastAsia="仿宋_GB2312" w:cs="仿宋_GB2312"/>
          <w:b/>
          <w:bCs/>
          <w:color w:val="auto"/>
          <w:sz w:val="21"/>
          <w:szCs w:val="21"/>
          <w:highlight w:val="none"/>
          <w:shd w:val="clear" w:color="auto" w:fill="FFFFFF"/>
        </w:rPr>
        <w:t>甲方</w:t>
      </w:r>
      <w:r>
        <w:rPr>
          <w:rFonts w:hint="eastAsia" w:ascii="仿宋_GB2312" w:hAnsi="仿宋_GB2312" w:eastAsia="仿宋_GB2312" w:cs="仿宋_GB2312"/>
          <w:b/>
          <w:bCs/>
          <w:color w:val="auto"/>
          <w:sz w:val="21"/>
          <w:szCs w:val="21"/>
          <w:highlight w:val="none"/>
          <w:shd w:val="clear" w:color="auto" w:fill="FFFFFF"/>
          <w:lang w:val="en-US" w:eastAsia="zh-CN"/>
        </w:rPr>
        <w:t>个人</w:t>
      </w:r>
      <w:r>
        <w:rPr>
          <w:rFonts w:hint="eastAsia" w:ascii="仿宋_GB2312" w:hAnsi="仿宋_GB2312" w:eastAsia="仿宋_GB2312" w:cs="仿宋_GB2312"/>
          <w:b/>
          <w:bCs/>
          <w:color w:val="auto"/>
          <w:sz w:val="21"/>
          <w:szCs w:val="21"/>
          <w:highlight w:val="none"/>
          <w:shd w:val="clear" w:color="auto" w:fill="FFFFFF"/>
        </w:rPr>
        <w:t>信息。不泄露、篡改、毁损甲方信息，不出售或者非法向他人提供甲方信息。</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highlight w:val="none"/>
        </w:rPr>
      </w:pPr>
    </w:p>
    <w:sectPr>
      <w:footerReference r:id="rId3" w:type="default"/>
      <w:pgSz w:w="11906" w:h="16838"/>
      <w:pgMar w:top="255" w:right="397" w:bottom="255" w:left="3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D74C3"/>
    <w:rsid w:val="00314896"/>
    <w:rsid w:val="007B6447"/>
    <w:rsid w:val="008C3D77"/>
    <w:rsid w:val="00BE6BB9"/>
    <w:rsid w:val="00F70DAA"/>
    <w:rsid w:val="01930D49"/>
    <w:rsid w:val="01953FF2"/>
    <w:rsid w:val="01A23409"/>
    <w:rsid w:val="01A57C41"/>
    <w:rsid w:val="01BA6EE8"/>
    <w:rsid w:val="02003C5F"/>
    <w:rsid w:val="024878EB"/>
    <w:rsid w:val="026108D8"/>
    <w:rsid w:val="0273509E"/>
    <w:rsid w:val="02742EA9"/>
    <w:rsid w:val="027B734B"/>
    <w:rsid w:val="029E666E"/>
    <w:rsid w:val="02B25201"/>
    <w:rsid w:val="034D7565"/>
    <w:rsid w:val="034E213A"/>
    <w:rsid w:val="038C1ED9"/>
    <w:rsid w:val="038C4A32"/>
    <w:rsid w:val="03F11E12"/>
    <w:rsid w:val="04D25123"/>
    <w:rsid w:val="04D63A42"/>
    <w:rsid w:val="05210DCE"/>
    <w:rsid w:val="05314B10"/>
    <w:rsid w:val="05630A5B"/>
    <w:rsid w:val="05733783"/>
    <w:rsid w:val="05D471C5"/>
    <w:rsid w:val="05DC11C5"/>
    <w:rsid w:val="05FD1122"/>
    <w:rsid w:val="06D46E1A"/>
    <w:rsid w:val="06FB09A7"/>
    <w:rsid w:val="070868DE"/>
    <w:rsid w:val="07B63255"/>
    <w:rsid w:val="0869442C"/>
    <w:rsid w:val="08BE0B5A"/>
    <w:rsid w:val="09237710"/>
    <w:rsid w:val="093D4C34"/>
    <w:rsid w:val="093F448F"/>
    <w:rsid w:val="09402B60"/>
    <w:rsid w:val="09442ED6"/>
    <w:rsid w:val="096A7BE7"/>
    <w:rsid w:val="09E03013"/>
    <w:rsid w:val="09EF623D"/>
    <w:rsid w:val="0A0551EF"/>
    <w:rsid w:val="0A756CF6"/>
    <w:rsid w:val="0B405BF2"/>
    <w:rsid w:val="0B55229B"/>
    <w:rsid w:val="0B5D3E2C"/>
    <w:rsid w:val="0B5F0872"/>
    <w:rsid w:val="0BAA4528"/>
    <w:rsid w:val="0BBC0A09"/>
    <w:rsid w:val="0BC12220"/>
    <w:rsid w:val="0BC97B56"/>
    <w:rsid w:val="0BE32FF7"/>
    <w:rsid w:val="0BEC2ADE"/>
    <w:rsid w:val="0C042679"/>
    <w:rsid w:val="0C3E14CE"/>
    <w:rsid w:val="0C836B60"/>
    <w:rsid w:val="0CB30B8F"/>
    <w:rsid w:val="0D227F55"/>
    <w:rsid w:val="0DB8798E"/>
    <w:rsid w:val="0DBC371A"/>
    <w:rsid w:val="0DE07F76"/>
    <w:rsid w:val="0DF55D75"/>
    <w:rsid w:val="0DF6435A"/>
    <w:rsid w:val="0E0B7F29"/>
    <w:rsid w:val="0ECA7F87"/>
    <w:rsid w:val="0F0C2B5B"/>
    <w:rsid w:val="0F133675"/>
    <w:rsid w:val="0F170BE8"/>
    <w:rsid w:val="0F2A1C38"/>
    <w:rsid w:val="0FD678A4"/>
    <w:rsid w:val="10056A0C"/>
    <w:rsid w:val="10063E9A"/>
    <w:rsid w:val="10D737BC"/>
    <w:rsid w:val="10DB7F92"/>
    <w:rsid w:val="10EE6D54"/>
    <w:rsid w:val="11A5767F"/>
    <w:rsid w:val="11D25ACE"/>
    <w:rsid w:val="11F32B63"/>
    <w:rsid w:val="12205FF9"/>
    <w:rsid w:val="122C77DC"/>
    <w:rsid w:val="127F56D4"/>
    <w:rsid w:val="12B06987"/>
    <w:rsid w:val="12BA17B2"/>
    <w:rsid w:val="12CB38CF"/>
    <w:rsid w:val="12D1682F"/>
    <w:rsid w:val="12E721D8"/>
    <w:rsid w:val="12EA0F28"/>
    <w:rsid w:val="12ED60CD"/>
    <w:rsid w:val="12FE1EF1"/>
    <w:rsid w:val="13127DB9"/>
    <w:rsid w:val="13207589"/>
    <w:rsid w:val="13405EB6"/>
    <w:rsid w:val="136F035C"/>
    <w:rsid w:val="1378631C"/>
    <w:rsid w:val="13D80668"/>
    <w:rsid w:val="13FC575D"/>
    <w:rsid w:val="140E6CB9"/>
    <w:rsid w:val="140F1901"/>
    <w:rsid w:val="141F2D4B"/>
    <w:rsid w:val="146366B4"/>
    <w:rsid w:val="15445BA3"/>
    <w:rsid w:val="154E7B68"/>
    <w:rsid w:val="1556526E"/>
    <w:rsid w:val="15590BE2"/>
    <w:rsid w:val="1588129C"/>
    <w:rsid w:val="159A1505"/>
    <w:rsid w:val="15B520FC"/>
    <w:rsid w:val="15DF496C"/>
    <w:rsid w:val="161B40D3"/>
    <w:rsid w:val="16352C57"/>
    <w:rsid w:val="168D0652"/>
    <w:rsid w:val="1695574D"/>
    <w:rsid w:val="16993781"/>
    <w:rsid w:val="16A6451F"/>
    <w:rsid w:val="16CC2B10"/>
    <w:rsid w:val="170920E5"/>
    <w:rsid w:val="171945B2"/>
    <w:rsid w:val="178B38BB"/>
    <w:rsid w:val="18576866"/>
    <w:rsid w:val="187B79DA"/>
    <w:rsid w:val="187E6424"/>
    <w:rsid w:val="18BC7407"/>
    <w:rsid w:val="18C042F1"/>
    <w:rsid w:val="18D86321"/>
    <w:rsid w:val="18DD14CE"/>
    <w:rsid w:val="193C68BB"/>
    <w:rsid w:val="19883C7D"/>
    <w:rsid w:val="19BB64A1"/>
    <w:rsid w:val="19E4142F"/>
    <w:rsid w:val="1A422DA3"/>
    <w:rsid w:val="1A576E73"/>
    <w:rsid w:val="1A5F6F87"/>
    <w:rsid w:val="1A9854AC"/>
    <w:rsid w:val="1AA8605B"/>
    <w:rsid w:val="1AAB0A98"/>
    <w:rsid w:val="1B0757DE"/>
    <w:rsid w:val="1B7B7288"/>
    <w:rsid w:val="1BBF009E"/>
    <w:rsid w:val="1C297D37"/>
    <w:rsid w:val="1C61543C"/>
    <w:rsid w:val="1CA91C57"/>
    <w:rsid w:val="1D0C3730"/>
    <w:rsid w:val="1D3627D2"/>
    <w:rsid w:val="1D4C6C4B"/>
    <w:rsid w:val="1D64731D"/>
    <w:rsid w:val="1D6F12DB"/>
    <w:rsid w:val="1DB955AA"/>
    <w:rsid w:val="1DD104C6"/>
    <w:rsid w:val="1E1A1AB8"/>
    <w:rsid w:val="1E1B4F0B"/>
    <w:rsid w:val="1E296052"/>
    <w:rsid w:val="1E7A4E5E"/>
    <w:rsid w:val="1E857205"/>
    <w:rsid w:val="1EF94053"/>
    <w:rsid w:val="1F733763"/>
    <w:rsid w:val="1FDF0719"/>
    <w:rsid w:val="1FE2327E"/>
    <w:rsid w:val="200D5560"/>
    <w:rsid w:val="20572464"/>
    <w:rsid w:val="205A4BCC"/>
    <w:rsid w:val="208F6979"/>
    <w:rsid w:val="20B213DE"/>
    <w:rsid w:val="20FA48A9"/>
    <w:rsid w:val="210A6E3B"/>
    <w:rsid w:val="21612095"/>
    <w:rsid w:val="21756537"/>
    <w:rsid w:val="21C166FF"/>
    <w:rsid w:val="21E43BE3"/>
    <w:rsid w:val="22194F8B"/>
    <w:rsid w:val="22357097"/>
    <w:rsid w:val="22781568"/>
    <w:rsid w:val="229C160E"/>
    <w:rsid w:val="22A8238E"/>
    <w:rsid w:val="22C76E76"/>
    <w:rsid w:val="232C2476"/>
    <w:rsid w:val="23A944AA"/>
    <w:rsid w:val="23D14C23"/>
    <w:rsid w:val="240968DC"/>
    <w:rsid w:val="241512A3"/>
    <w:rsid w:val="2415267E"/>
    <w:rsid w:val="24A25371"/>
    <w:rsid w:val="24AC4480"/>
    <w:rsid w:val="250E6445"/>
    <w:rsid w:val="252E6598"/>
    <w:rsid w:val="25612A7D"/>
    <w:rsid w:val="25A23F64"/>
    <w:rsid w:val="25B53D88"/>
    <w:rsid w:val="25CD194A"/>
    <w:rsid w:val="25DE2FA7"/>
    <w:rsid w:val="260314BD"/>
    <w:rsid w:val="26326F3E"/>
    <w:rsid w:val="26536B2C"/>
    <w:rsid w:val="26587BB4"/>
    <w:rsid w:val="265F4350"/>
    <w:rsid w:val="26A61639"/>
    <w:rsid w:val="26B06BFF"/>
    <w:rsid w:val="26B937B3"/>
    <w:rsid w:val="27172430"/>
    <w:rsid w:val="273343F0"/>
    <w:rsid w:val="276A4192"/>
    <w:rsid w:val="27A3630D"/>
    <w:rsid w:val="28212AA2"/>
    <w:rsid w:val="284228CA"/>
    <w:rsid w:val="2848746A"/>
    <w:rsid w:val="28582E52"/>
    <w:rsid w:val="285C0F26"/>
    <w:rsid w:val="288B3015"/>
    <w:rsid w:val="289F34CB"/>
    <w:rsid w:val="28B8708E"/>
    <w:rsid w:val="28BF4033"/>
    <w:rsid w:val="28C800F0"/>
    <w:rsid w:val="2911591F"/>
    <w:rsid w:val="294C55F5"/>
    <w:rsid w:val="295D4BA9"/>
    <w:rsid w:val="29DB3DC5"/>
    <w:rsid w:val="29E70F26"/>
    <w:rsid w:val="29FF1E0C"/>
    <w:rsid w:val="2A2F6978"/>
    <w:rsid w:val="2A35597B"/>
    <w:rsid w:val="2A9C1B35"/>
    <w:rsid w:val="2AAC69BF"/>
    <w:rsid w:val="2B9B0DCA"/>
    <w:rsid w:val="2C0154C9"/>
    <w:rsid w:val="2C9771B4"/>
    <w:rsid w:val="2C99406D"/>
    <w:rsid w:val="2CA649C5"/>
    <w:rsid w:val="2D171EE7"/>
    <w:rsid w:val="2D2C3B62"/>
    <w:rsid w:val="2D547191"/>
    <w:rsid w:val="2D57327F"/>
    <w:rsid w:val="2DBE5782"/>
    <w:rsid w:val="2DC04EBC"/>
    <w:rsid w:val="2DE976AA"/>
    <w:rsid w:val="2DF126A1"/>
    <w:rsid w:val="2E490D00"/>
    <w:rsid w:val="2EA61ED2"/>
    <w:rsid w:val="2EB910ED"/>
    <w:rsid w:val="2EEA25BB"/>
    <w:rsid w:val="2F17011C"/>
    <w:rsid w:val="2F6D28A6"/>
    <w:rsid w:val="2F7421B3"/>
    <w:rsid w:val="2FA47146"/>
    <w:rsid w:val="2FF83931"/>
    <w:rsid w:val="300220C3"/>
    <w:rsid w:val="30462D1B"/>
    <w:rsid w:val="306040EB"/>
    <w:rsid w:val="30640149"/>
    <w:rsid w:val="308C6DF5"/>
    <w:rsid w:val="31460B9C"/>
    <w:rsid w:val="31792978"/>
    <w:rsid w:val="31E51E42"/>
    <w:rsid w:val="31F9110F"/>
    <w:rsid w:val="320A58E7"/>
    <w:rsid w:val="3223228C"/>
    <w:rsid w:val="324F1C86"/>
    <w:rsid w:val="325B0ABA"/>
    <w:rsid w:val="325E37C1"/>
    <w:rsid w:val="32603381"/>
    <w:rsid w:val="329F002C"/>
    <w:rsid w:val="32C414E7"/>
    <w:rsid w:val="33133DC5"/>
    <w:rsid w:val="3335561F"/>
    <w:rsid w:val="335A2D44"/>
    <w:rsid w:val="33995EB5"/>
    <w:rsid w:val="33996C02"/>
    <w:rsid w:val="33EE64F8"/>
    <w:rsid w:val="34216C3F"/>
    <w:rsid w:val="343C4D0E"/>
    <w:rsid w:val="34431081"/>
    <w:rsid w:val="345B3136"/>
    <w:rsid w:val="34985724"/>
    <w:rsid w:val="34A278D8"/>
    <w:rsid w:val="34BB6384"/>
    <w:rsid w:val="35000CF8"/>
    <w:rsid w:val="35293B3B"/>
    <w:rsid w:val="35AA59E2"/>
    <w:rsid w:val="35D9009C"/>
    <w:rsid w:val="35E4573A"/>
    <w:rsid w:val="35FD6A3E"/>
    <w:rsid w:val="36106DB0"/>
    <w:rsid w:val="36450798"/>
    <w:rsid w:val="371C5663"/>
    <w:rsid w:val="3789378D"/>
    <w:rsid w:val="37EE6E69"/>
    <w:rsid w:val="3801721D"/>
    <w:rsid w:val="380A25D2"/>
    <w:rsid w:val="38184EB9"/>
    <w:rsid w:val="38316BB0"/>
    <w:rsid w:val="38886B45"/>
    <w:rsid w:val="389B25B9"/>
    <w:rsid w:val="38AB21BE"/>
    <w:rsid w:val="38AB3A90"/>
    <w:rsid w:val="38B371C3"/>
    <w:rsid w:val="3905013B"/>
    <w:rsid w:val="390D461F"/>
    <w:rsid w:val="39291941"/>
    <w:rsid w:val="392D3C79"/>
    <w:rsid w:val="39452D1F"/>
    <w:rsid w:val="39C9577A"/>
    <w:rsid w:val="39DA620B"/>
    <w:rsid w:val="3A045F79"/>
    <w:rsid w:val="3A131B2D"/>
    <w:rsid w:val="3A2A2ECE"/>
    <w:rsid w:val="3A30537B"/>
    <w:rsid w:val="3A465973"/>
    <w:rsid w:val="3A542FF7"/>
    <w:rsid w:val="3A973BE8"/>
    <w:rsid w:val="3AF542E4"/>
    <w:rsid w:val="3AF705BF"/>
    <w:rsid w:val="3B7A56E8"/>
    <w:rsid w:val="3B904E17"/>
    <w:rsid w:val="3BA7540D"/>
    <w:rsid w:val="3BDB6EDF"/>
    <w:rsid w:val="3BE35447"/>
    <w:rsid w:val="3BF90691"/>
    <w:rsid w:val="3C150A8F"/>
    <w:rsid w:val="3C55502A"/>
    <w:rsid w:val="3CF23A62"/>
    <w:rsid w:val="3CF37E83"/>
    <w:rsid w:val="3D1806E4"/>
    <w:rsid w:val="3D1E730B"/>
    <w:rsid w:val="3D4C742A"/>
    <w:rsid w:val="3D727E08"/>
    <w:rsid w:val="3DE73E6F"/>
    <w:rsid w:val="3E3F2720"/>
    <w:rsid w:val="3E5C5591"/>
    <w:rsid w:val="3E6F6960"/>
    <w:rsid w:val="3EA124D3"/>
    <w:rsid w:val="3F0527D0"/>
    <w:rsid w:val="3F45111A"/>
    <w:rsid w:val="3F6172C7"/>
    <w:rsid w:val="3F8E1CC6"/>
    <w:rsid w:val="3F9732B4"/>
    <w:rsid w:val="3FB810FD"/>
    <w:rsid w:val="3FC97C14"/>
    <w:rsid w:val="4042024D"/>
    <w:rsid w:val="404B42D5"/>
    <w:rsid w:val="40512216"/>
    <w:rsid w:val="40760492"/>
    <w:rsid w:val="409C140F"/>
    <w:rsid w:val="40E2555F"/>
    <w:rsid w:val="41035C54"/>
    <w:rsid w:val="417574A0"/>
    <w:rsid w:val="418547E4"/>
    <w:rsid w:val="418D7C33"/>
    <w:rsid w:val="418F6A03"/>
    <w:rsid w:val="42064041"/>
    <w:rsid w:val="421B4510"/>
    <w:rsid w:val="42363B6B"/>
    <w:rsid w:val="43171754"/>
    <w:rsid w:val="433737AB"/>
    <w:rsid w:val="434F5B3F"/>
    <w:rsid w:val="43631A2B"/>
    <w:rsid w:val="43A51D3C"/>
    <w:rsid w:val="43AC4D25"/>
    <w:rsid w:val="43AD7535"/>
    <w:rsid w:val="43AF391F"/>
    <w:rsid w:val="43B66D5E"/>
    <w:rsid w:val="43C721FA"/>
    <w:rsid w:val="442C25A3"/>
    <w:rsid w:val="445E567C"/>
    <w:rsid w:val="44A3151E"/>
    <w:rsid w:val="44BE5791"/>
    <w:rsid w:val="44CB63A8"/>
    <w:rsid w:val="45315707"/>
    <w:rsid w:val="45333639"/>
    <w:rsid w:val="45354462"/>
    <w:rsid w:val="45A404D7"/>
    <w:rsid w:val="45AE64AF"/>
    <w:rsid w:val="45CF19EC"/>
    <w:rsid w:val="45DD0B39"/>
    <w:rsid w:val="45EC2D78"/>
    <w:rsid w:val="464F3215"/>
    <w:rsid w:val="46C4170F"/>
    <w:rsid w:val="472E1954"/>
    <w:rsid w:val="478C1392"/>
    <w:rsid w:val="47FF3246"/>
    <w:rsid w:val="481C41F7"/>
    <w:rsid w:val="482325BE"/>
    <w:rsid w:val="48392F9A"/>
    <w:rsid w:val="483D750D"/>
    <w:rsid w:val="48473849"/>
    <w:rsid w:val="486C50FA"/>
    <w:rsid w:val="48D138C8"/>
    <w:rsid w:val="49922151"/>
    <w:rsid w:val="4A624C93"/>
    <w:rsid w:val="4A6C7FA5"/>
    <w:rsid w:val="4A8E0C96"/>
    <w:rsid w:val="4A8E2ECA"/>
    <w:rsid w:val="4AA02FBA"/>
    <w:rsid w:val="4AB2607D"/>
    <w:rsid w:val="4AE23398"/>
    <w:rsid w:val="4B3C3529"/>
    <w:rsid w:val="4B3E7C9F"/>
    <w:rsid w:val="4B601174"/>
    <w:rsid w:val="4BAF7636"/>
    <w:rsid w:val="4BBC07ED"/>
    <w:rsid w:val="4C343046"/>
    <w:rsid w:val="4C517CA2"/>
    <w:rsid w:val="4C641BFC"/>
    <w:rsid w:val="4C6C4E88"/>
    <w:rsid w:val="4C6D2822"/>
    <w:rsid w:val="4C714472"/>
    <w:rsid w:val="4D0A1B49"/>
    <w:rsid w:val="4D366788"/>
    <w:rsid w:val="4D7A2EEB"/>
    <w:rsid w:val="4D851DE2"/>
    <w:rsid w:val="4E4A4680"/>
    <w:rsid w:val="4E5A264A"/>
    <w:rsid w:val="4E8D3739"/>
    <w:rsid w:val="4E8E2926"/>
    <w:rsid w:val="4E995F32"/>
    <w:rsid w:val="4ECA61E5"/>
    <w:rsid w:val="4EEC49CB"/>
    <w:rsid w:val="4F2A2558"/>
    <w:rsid w:val="4F3336D2"/>
    <w:rsid w:val="4F726E8E"/>
    <w:rsid w:val="4FA35D66"/>
    <w:rsid w:val="4FDD7BA1"/>
    <w:rsid w:val="50175B70"/>
    <w:rsid w:val="50713C87"/>
    <w:rsid w:val="51787C0F"/>
    <w:rsid w:val="51C61685"/>
    <w:rsid w:val="51FF1B17"/>
    <w:rsid w:val="528E1747"/>
    <w:rsid w:val="52D44AAA"/>
    <w:rsid w:val="5314070D"/>
    <w:rsid w:val="532972D4"/>
    <w:rsid w:val="53353D58"/>
    <w:rsid w:val="53B32AF9"/>
    <w:rsid w:val="54235F34"/>
    <w:rsid w:val="543659F9"/>
    <w:rsid w:val="54386B7C"/>
    <w:rsid w:val="545B61D6"/>
    <w:rsid w:val="5492337F"/>
    <w:rsid w:val="549563BB"/>
    <w:rsid w:val="54A7529A"/>
    <w:rsid w:val="54B35B0E"/>
    <w:rsid w:val="54F4406B"/>
    <w:rsid w:val="550507B6"/>
    <w:rsid w:val="5528048E"/>
    <w:rsid w:val="555D0493"/>
    <w:rsid w:val="55921D4A"/>
    <w:rsid w:val="55977B2F"/>
    <w:rsid w:val="55C536E4"/>
    <w:rsid w:val="56186E31"/>
    <w:rsid w:val="56247CA2"/>
    <w:rsid w:val="565F3D89"/>
    <w:rsid w:val="56627054"/>
    <w:rsid w:val="56724DAD"/>
    <w:rsid w:val="56C87D6E"/>
    <w:rsid w:val="572E198F"/>
    <w:rsid w:val="573D680B"/>
    <w:rsid w:val="57492F15"/>
    <w:rsid w:val="57680242"/>
    <w:rsid w:val="57C83ABC"/>
    <w:rsid w:val="57DF60CD"/>
    <w:rsid w:val="58261747"/>
    <w:rsid w:val="582D2F3A"/>
    <w:rsid w:val="585E2B87"/>
    <w:rsid w:val="58602B6B"/>
    <w:rsid w:val="593D5E9B"/>
    <w:rsid w:val="594F6D4A"/>
    <w:rsid w:val="59521E08"/>
    <w:rsid w:val="5986028B"/>
    <w:rsid w:val="59951975"/>
    <w:rsid w:val="599919DB"/>
    <w:rsid w:val="59C026D8"/>
    <w:rsid w:val="59EA18B4"/>
    <w:rsid w:val="5A041CEC"/>
    <w:rsid w:val="5A3C5E3C"/>
    <w:rsid w:val="5A495397"/>
    <w:rsid w:val="5A900D16"/>
    <w:rsid w:val="5AE624CB"/>
    <w:rsid w:val="5AEC6DCA"/>
    <w:rsid w:val="5B08433D"/>
    <w:rsid w:val="5B3C6DDC"/>
    <w:rsid w:val="5BCF2DA0"/>
    <w:rsid w:val="5BD20815"/>
    <w:rsid w:val="5BDA2812"/>
    <w:rsid w:val="5BE75090"/>
    <w:rsid w:val="5C0D09B6"/>
    <w:rsid w:val="5C120CF1"/>
    <w:rsid w:val="5C1B1B7D"/>
    <w:rsid w:val="5C2726C7"/>
    <w:rsid w:val="5CBB2E45"/>
    <w:rsid w:val="5CBB57CF"/>
    <w:rsid w:val="5CC63785"/>
    <w:rsid w:val="5CCB6820"/>
    <w:rsid w:val="5D504D23"/>
    <w:rsid w:val="5D520C71"/>
    <w:rsid w:val="5DA0488E"/>
    <w:rsid w:val="5DE624C3"/>
    <w:rsid w:val="5DFD6C52"/>
    <w:rsid w:val="5E0C634C"/>
    <w:rsid w:val="5E3B65FD"/>
    <w:rsid w:val="5E810738"/>
    <w:rsid w:val="5E8E09B3"/>
    <w:rsid w:val="5E9346EB"/>
    <w:rsid w:val="5E966F98"/>
    <w:rsid w:val="5E9832DF"/>
    <w:rsid w:val="5EB036D1"/>
    <w:rsid w:val="5EBB585E"/>
    <w:rsid w:val="5ED67A33"/>
    <w:rsid w:val="5F375309"/>
    <w:rsid w:val="5F477B5E"/>
    <w:rsid w:val="5FC27731"/>
    <w:rsid w:val="5FD1572B"/>
    <w:rsid w:val="5FD81811"/>
    <w:rsid w:val="60016365"/>
    <w:rsid w:val="60C10E73"/>
    <w:rsid w:val="61096342"/>
    <w:rsid w:val="6174401B"/>
    <w:rsid w:val="61C267A7"/>
    <w:rsid w:val="61F367B1"/>
    <w:rsid w:val="62310E58"/>
    <w:rsid w:val="6291209E"/>
    <w:rsid w:val="62ED1397"/>
    <w:rsid w:val="632B509A"/>
    <w:rsid w:val="63410366"/>
    <w:rsid w:val="63964F98"/>
    <w:rsid w:val="63B92FCA"/>
    <w:rsid w:val="63C32B28"/>
    <w:rsid w:val="64674344"/>
    <w:rsid w:val="64B710D1"/>
    <w:rsid w:val="64C54F77"/>
    <w:rsid w:val="64CA5758"/>
    <w:rsid w:val="64ED575A"/>
    <w:rsid w:val="65A42C56"/>
    <w:rsid w:val="65AF27F4"/>
    <w:rsid w:val="65EF1201"/>
    <w:rsid w:val="66031A28"/>
    <w:rsid w:val="667151A8"/>
    <w:rsid w:val="667E3131"/>
    <w:rsid w:val="668D1125"/>
    <w:rsid w:val="66AF40CD"/>
    <w:rsid w:val="66EC64E9"/>
    <w:rsid w:val="674A0F25"/>
    <w:rsid w:val="67791708"/>
    <w:rsid w:val="67BC2A0D"/>
    <w:rsid w:val="680202F2"/>
    <w:rsid w:val="680E3481"/>
    <w:rsid w:val="682103C6"/>
    <w:rsid w:val="683A7E4E"/>
    <w:rsid w:val="68661E6C"/>
    <w:rsid w:val="686C2E9C"/>
    <w:rsid w:val="68703F1E"/>
    <w:rsid w:val="687C6699"/>
    <w:rsid w:val="687D1EB3"/>
    <w:rsid w:val="68F0587A"/>
    <w:rsid w:val="68F97B3A"/>
    <w:rsid w:val="690465AC"/>
    <w:rsid w:val="6922578A"/>
    <w:rsid w:val="69803FF4"/>
    <w:rsid w:val="699A577D"/>
    <w:rsid w:val="699D74C3"/>
    <w:rsid w:val="69A16BD8"/>
    <w:rsid w:val="6A4B5625"/>
    <w:rsid w:val="6AC62C86"/>
    <w:rsid w:val="6ACC20CB"/>
    <w:rsid w:val="6B21340C"/>
    <w:rsid w:val="6B286471"/>
    <w:rsid w:val="6B6140E6"/>
    <w:rsid w:val="6BD57D0B"/>
    <w:rsid w:val="6C3C4A1B"/>
    <w:rsid w:val="6C512802"/>
    <w:rsid w:val="6CCA03DE"/>
    <w:rsid w:val="6CCB58ED"/>
    <w:rsid w:val="6CE84E15"/>
    <w:rsid w:val="6CED2854"/>
    <w:rsid w:val="6D0B0D01"/>
    <w:rsid w:val="6D3161C1"/>
    <w:rsid w:val="6D3E5940"/>
    <w:rsid w:val="6D4261DE"/>
    <w:rsid w:val="6D4F2221"/>
    <w:rsid w:val="6D8F464A"/>
    <w:rsid w:val="6DB62053"/>
    <w:rsid w:val="6DBF6CE0"/>
    <w:rsid w:val="6E21493B"/>
    <w:rsid w:val="6E26623B"/>
    <w:rsid w:val="6E3E56F7"/>
    <w:rsid w:val="6EAB503F"/>
    <w:rsid w:val="6F301BB6"/>
    <w:rsid w:val="6F3C35F3"/>
    <w:rsid w:val="6F4E0CBC"/>
    <w:rsid w:val="6F5517B1"/>
    <w:rsid w:val="6F76034B"/>
    <w:rsid w:val="6F814F1F"/>
    <w:rsid w:val="6FA71A19"/>
    <w:rsid w:val="6FAE3D5E"/>
    <w:rsid w:val="70034908"/>
    <w:rsid w:val="70097E12"/>
    <w:rsid w:val="700D1D2C"/>
    <w:rsid w:val="7033106B"/>
    <w:rsid w:val="703C67E1"/>
    <w:rsid w:val="70436F11"/>
    <w:rsid w:val="7055016A"/>
    <w:rsid w:val="707F28C0"/>
    <w:rsid w:val="708E12D0"/>
    <w:rsid w:val="70A07957"/>
    <w:rsid w:val="70BA1A35"/>
    <w:rsid w:val="70BF4528"/>
    <w:rsid w:val="70E863AD"/>
    <w:rsid w:val="711E0FC5"/>
    <w:rsid w:val="71411FEF"/>
    <w:rsid w:val="71476317"/>
    <w:rsid w:val="71641835"/>
    <w:rsid w:val="718373F3"/>
    <w:rsid w:val="71E54949"/>
    <w:rsid w:val="72272F87"/>
    <w:rsid w:val="72463FD2"/>
    <w:rsid w:val="72560CD9"/>
    <w:rsid w:val="72683EAE"/>
    <w:rsid w:val="73061954"/>
    <w:rsid w:val="73230933"/>
    <w:rsid w:val="734A1755"/>
    <w:rsid w:val="73712110"/>
    <w:rsid w:val="73B16C9F"/>
    <w:rsid w:val="73B9524A"/>
    <w:rsid w:val="73E707B6"/>
    <w:rsid w:val="747C3E40"/>
    <w:rsid w:val="750F40D4"/>
    <w:rsid w:val="753137CD"/>
    <w:rsid w:val="755F10EF"/>
    <w:rsid w:val="757B3E3E"/>
    <w:rsid w:val="7588513B"/>
    <w:rsid w:val="759101EC"/>
    <w:rsid w:val="75C9715E"/>
    <w:rsid w:val="75FD197C"/>
    <w:rsid w:val="76241F60"/>
    <w:rsid w:val="76660527"/>
    <w:rsid w:val="76AF2B1F"/>
    <w:rsid w:val="76C8691D"/>
    <w:rsid w:val="76E564AE"/>
    <w:rsid w:val="76F53A36"/>
    <w:rsid w:val="774523DA"/>
    <w:rsid w:val="776752EF"/>
    <w:rsid w:val="77B456A3"/>
    <w:rsid w:val="77B61DD3"/>
    <w:rsid w:val="77C03BEF"/>
    <w:rsid w:val="77CA106D"/>
    <w:rsid w:val="77E50BFD"/>
    <w:rsid w:val="784A2F9C"/>
    <w:rsid w:val="788939EB"/>
    <w:rsid w:val="78C60786"/>
    <w:rsid w:val="78C67BCB"/>
    <w:rsid w:val="78CC0451"/>
    <w:rsid w:val="78F44192"/>
    <w:rsid w:val="791A779D"/>
    <w:rsid w:val="79206D41"/>
    <w:rsid w:val="79365788"/>
    <w:rsid w:val="793F21EB"/>
    <w:rsid w:val="79A813EF"/>
    <w:rsid w:val="7A1204F8"/>
    <w:rsid w:val="7A260844"/>
    <w:rsid w:val="7A4E6042"/>
    <w:rsid w:val="7A7F25E8"/>
    <w:rsid w:val="7A9F1A50"/>
    <w:rsid w:val="7AA61CA4"/>
    <w:rsid w:val="7AC61D00"/>
    <w:rsid w:val="7B4A036E"/>
    <w:rsid w:val="7B567BC6"/>
    <w:rsid w:val="7B57638D"/>
    <w:rsid w:val="7B882BC3"/>
    <w:rsid w:val="7B9A0BF2"/>
    <w:rsid w:val="7BB5753C"/>
    <w:rsid w:val="7BC435A6"/>
    <w:rsid w:val="7BC86E9E"/>
    <w:rsid w:val="7BDA2FBA"/>
    <w:rsid w:val="7BEF1C2B"/>
    <w:rsid w:val="7BF57881"/>
    <w:rsid w:val="7BFF5D33"/>
    <w:rsid w:val="7C5A6C4C"/>
    <w:rsid w:val="7C762812"/>
    <w:rsid w:val="7CA74488"/>
    <w:rsid w:val="7D177B50"/>
    <w:rsid w:val="7D406D83"/>
    <w:rsid w:val="7D817FD2"/>
    <w:rsid w:val="7DA5003E"/>
    <w:rsid w:val="7E0A6DFF"/>
    <w:rsid w:val="7E3F7C0A"/>
    <w:rsid w:val="7E406E4A"/>
    <w:rsid w:val="7E645C26"/>
    <w:rsid w:val="7EB754FF"/>
    <w:rsid w:val="7EED5482"/>
    <w:rsid w:val="7FA923F5"/>
    <w:rsid w:val="7FC4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rFonts w:cs="Times New Roman"/>
      <w:kern w:val="0"/>
      <w:sz w:val="24"/>
      <w:szCs w:val="24"/>
    </w:rPr>
  </w:style>
  <w:style w:type="character" w:styleId="7">
    <w:name w:val="Strong"/>
    <w:basedOn w:val="6"/>
    <w:qFormat/>
    <w:uiPriority w:val="0"/>
    <w:rPr>
      <w:b/>
    </w:rPr>
  </w:style>
  <w:style w:type="paragraph" w:customStyle="1" w:styleId="8">
    <w:name w:val="Body text|1"/>
    <w:basedOn w:val="1"/>
    <w:qFormat/>
    <w:uiPriority w:val="0"/>
    <w:pPr>
      <w:spacing w:line="310" w:lineRule="auto"/>
      <w:ind w:firstLine="240"/>
      <w:jc w:val="left"/>
    </w:pPr>
    <w:rPr>
      <w:rFonts w:ascii="宋体" w:hAnsi="宋体" w:cs="宋体"/>
      <w:kern w:val="0"/>
      <w:sz w:val="11"/>
      <w:szCs w:val="11"/>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2026-01-04T02:17:00Z</dcterms:created>
  <dc:creator>卢雪燕</dc:creator>
  <cp:lastModifiedBy>刘绮静</cp:lastModifiedBy>
  <cp:lastPrinted>2026-01-04T02:20:00Z</cp:lastPrinted>
  <dcterms:modified xsi:type="dcterms:W3CDTF">2026-03-02T02:51:24Z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8806F4C5B16F4485AC8801B4526163CC_11</vt:lpwstr>
  </property>
</Properties>
</file>